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bookmarkStart w:id="1" w:name="_Hlk165293748"/>
      <w:r>
        <w:rPr>
          <w:rFonts w:hint="eastAsia" w:eastAsia="黑体"/>
          <w:b/>
          <w:sz w:val="52"/>
          <w:szCs w:val="52"/>
        </w:rPr>
        <w:t>2023年度学校整体支出和专项资金绩效评价服务</w:t>
      </w:r>
      <w:bookmarkEnd w:id="1"/>
      <w:r>
        <w:rPr>
          <w:rFonts w:hint="eastAsia" w:eastAsia="黑体"/>
          <w:b/>
          <w:sz w:val="52"/>
          <w:szCs w:val="52"/>
        </w:rPr>
        <w:t>采购项目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Pr>
        <w:jc w:val="center"/>
        <w:rPr>
          <w:sz w:val="32"/>
        </w:rPr>
      </w:pPr>
      <w:r>
        <w:rPr>
          <w:rFonts w:hint="eastAsia"/>
          <w:sz w:val="32"/>
        </w:rPr>
        <w:t>202</w:t>
      </w:r>
      <w:r>
        <w:rPr>
          <w:sz w:val="32"/>
        </w:rPr>
        <w:t>4</w:t>
      </w:r>
      <w:r>
        <w:rPr>
          <w:rFonts w:hint="eastAsia"/>
          <w:sz w:val="32"/>
        </w:rPr>
        <w:t>年4月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bookmarkStart w:id="2" w:name="_Hlk160806041"/>
      <w:r>
        <w:rPr>
          <w:rFonts w:hint="eastAsia" w:ascii="宋体" w:hAnsi="宋体" w:cs="宋体"/>
          <w:b/>
          <w:color w:val="FF0000"/>
          <w:kern w:val="0"/>
          <w:sz w:val="36"/>
          <w:szCs w:val="36"/>
        </w:rPr>
        <w:t>2023年度学校整体支出和专项资金绩效评价服务采购项目</w:t>
      </w:r>
      <w:bookmarkEnd w:id="2"/>
      <w:r>
        <w:rPr>
          <w:rFonts w:hint="eastAsia" w:ascii="宋体" w:hAnsi="宋体" w:cs="宋体"/>
          <w:b/>
          <w:color w:val="FF0000"/>
          <w:kern w:val="0"/>
          <w:sz w:val="36"/>
          <w:szCs w:val="36"/>
        </w:rPr>
        <w:t>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sz w:val="24"/>
        </w:rPr>
        <w:t>2023年度学校整体支出和专项资金绩效评价</w:t>
      </w:r>
      <w:r>
        <w:rPr>
          <w:rFonts w:hint="eastAsia" w:ascii="宋体" w:hAnsi="宋体" w:cs="宋体"/>
          <w:color w:val="000000"/>
          <w:kern w:val="0"/>
          <w:sz w:val="24"/>
        </w:rPr>
        <w:t>服务采购项目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2023年度学校整体支出和专项资金绩效评价服务</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3" w:name="_Hlk144221827"/>
      <w:r>
        <w:rPr>
          <w:rFonts w:hint="eastAsia" w:ascii="宋体" w:hAnsi="宋体" w:cs="宋体"/>
          <w:color w:val="000000"/>
          <w:kern w:val="0"/>
          <w:sz w:val="24"/>
        </w:rPr>
        <w:t>3、采购预算：</w:t>
      </w:r>
      <w:r>
        <w:rPr>
          <w:rFonts w:hint="eastAsia" w:ascii="宋体" w:hAnsi="宋体" w:cs="宋体"/>
          <w:kern w:val="0"/>
          <w:sz w:val="24"/>
        </w:rPr>
        <w:t>7.5万元</w:t>
      </w:r>
      <w:bookmarkEnd w:id="3"/>
    </w:p>
    <w:p>
      <w:pPr>
        <w:pStyle w:val="80"/>
        <w:widowControl/>
        <w:numPr>
          <w:ilvl w:val="1"/>
          <w:numId w:val="1"/>
        </w:numPr>
        <w:spacing w:before="124" w:beforeLines="40" w:after="124" w:afterLines="40" w:line="360" w:lineRule="auto"/>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284"/>
        <w:rPr>
          <w:rFonts w:ascii="宋体" w:hAnsi="宋体" w:cs="宋体"/>
          <w:color w:val="000000"/>
          <w:kern w:val="0"/>
          <w:sz w:val="24"/>
        </w:rPr>
      </w:pPr>
      <w:bookmarkStart w:id="4" w:name="_Hlk160807244"/>
      <w:r>
        <w:rPr>
          <w:rFonts w:hint="eastAsia" w:ascii="宋体" w:hAnsi="宋体" w:cs="宋体"/>
          <w:color w:val="000000"/>
          <w:kern w:val="0"/>
          <w:sz w:val="24"/>
        </w:rPr>
        <w:t>（一）基本资格条件</w:t>
      </w:r>
    </w:p>
    <w:p>
      <w:pPr>
        <w:pStyle w:val="80"/>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0"/>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0"/>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0"/>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0"/>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0"/>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0"/>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0"/>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spacing w:line="360" w:lineRule="auto"/>
        <w:ind w:left="329"/>
        <w:rPr>
          <w:rFonts w:ascii="宋体" w:hAnsi="宋体" w:cs="宋体"/>
          <w:color w:val="000000"/>
          <w:kern w:val="0"/>
          <w:sz w:val="24"/>
        </w:rPr>
      </w:pPr>
      <w:r>
        <w:rPr>
          <w:rFonts w:hint="eastAsia" w:ascii="宋体" w:hAnsi="宋体" w:cs="宋体"/>
          <w:color w:val="000000"/>
          <w:kern w:val="0"/>
          <w:sz w:val="24"/>
        </w:rPr>
        <w:t>（二）特定资格条件</w:t>
      </w:r>
      <w:bookmarkStart w:id="5" w:name="_Hlk160968648"/>
    </w:p>
    <w:bookmarkEnd w:id="4"/>
    <w:bookmarkEnd w:id="5"/>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具备依法取得财政厅批准的会计师事务所执业证书的单位资质。</w:t>
      </w:r>
    </w:p>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bookmarkStart w:id="6" w:name="_Hlk165294075"/>
      <w:r>
        <w:rPr>
          <w:rFonts w:hint="eastAsia" w:ascii="宋体" w:hAnsi="宋体" w:cs="宋体"/>
          <w:color w:val="000000"/>
          <w:kern w:val="0"/>
          <w:sz w:val="24"/>
        </w:rPr>
        <w:t>报名时间：2024年</w:t>
      </w:r>
      <w:r>
        <w:rPr>
          <w:rFonts w:hint="eastAsia" w:ascii="宋体" w:hAnsi="宋体" w:cs="宋体"/>
          <w:kern w:val="0"/>
          <w:sz w:val="24"/>
        </w:rPr>
        <w:t>4月30日至2024年5月9日17：00止（工作日）</w:t>
      </w:r>
      <w:r>
        <w:rPr>
          <w:rFonts w:hint="eastAsia" w:ascii="宋体" w:hAnsi="宋体" w:cs="宋体"/>
          <w:color w:val="000000"/>
          <w:kern w:val="0"/>
          <w:sz w:val="24"/>
        </w:rPr>
        <w:t>；</w:t>
      </w:r>
      <w:bookmarkEnd w:id="6"/>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4"/>
          <w:rFonts w:hint="eastAsia" w:ascii="宋体" w:hAnsi="宋体" w:cs="宋体"/>
          <w:color w:val="auto"/>
          <w:kern w:val="0"/>
          <w:sz w:val="24"/>
        </w:rPr>
        <w:t>zcglccg@126.com</w:t>
      </w:r>
      <w:r>
        <w:rPr>
          <w:rStyle w:val="24"/>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7" w:name="_Hlk165294099"/>
      <w:r>
        <w:rPr>
          <w:rFonts w:hint="eastAsia" w:ascii="宋体" w:hAnsi="宋体" w:cs="宋体"/>
          <w:color w:val="000000"/>
          <w:kern w:val="0"/>
          <w:sz w:val="24"/>
        </w:rPr>
        <w:t>1、响应文件递交开始时间：2024年</w:t>
      </w:r>
      <w:r>
        <w:rPr>
          <w:rFonts w:hint="eastAsia" w:ascii="宋体" w:hAnsi="宋体" w:cs="宋体"/>
          <w:kern w:val="0"/>
          <w:sz w:val="24"/>
        </w:rPr>
        <w:t>5月</w:t>
      </w:r>
      <w:r>
        <w:rPr>
          <w:rFonts w:hint="eastAsia" w:ascii="宋体" w:hAnsi="宋体" w:cs="宋体"/>
          <w:kern w:val="0"/>
          <w:sz w:val="24"/>
          <w:lang w:val="en-US" w:eastAsia="zh-CN"/>
        </w:rPr>
        <w:t>10</w:t>
      </w:r>
      <w:r>
        <w:rPr>
          <w:rFonts w:hint="eastAsia" w:ascii="宋体" w:hAnsi="宋体" w:cs="宋体"/>
          <w:kern w:val="0"/>
          <w:sz w:val="24"/>
        </w:rPr>
        <w:t>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2、响应文件递交截止时间（开标时间）：2024年5月10日</w:t>
      </w:r>
      <w:r>
        <w:rPr>
          <w:rFonts w:hint="eastAsia" w:ascii="宋体" w:hAnsi="宋体" w:cs="宋体"/>
          <w:color w:val="000000"/>
          <w:kern w:val="0"/>
          <w:sz w:val="24"/>
        </w:rPr>
        <w:t>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3、开标地点：湖南化工职业技术学院行政楼109室。</w:t>
      </w:r>
    </w:p>
    <w:bookmarkEnd w:id="7"/>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4"/>
        <w:ind w:firstLine="480"/>
        <w:rPr>
          <w:color w:val="000000"/>
        </w:rPr>
      </w:pPr>
    </w:p>
    <w:p>
      <w:pPr>
        <w:pStyle w:val="5"/>
        <w:rPr>
          <w:color w:val="000000"/>
        </w:rPr>
      </w:pPr>
    </w:p>
    <w:p>
      <w:pPr>
        <w:pStyle w:val="5"/>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7"/>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7"/>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8" w:name="_Hlk160810094"/>
      <w:r>
        <w:rPr>
          <w:rFonts w:hint="eastAsia" w:ascii="宋体" w:hAnsi="宋体" w:cs="宋体"/>
          <w:color w:val="000000"/>
          <w:kern w:val="0"/>
          <w:sz w:val="24"/>
        </w:rPr>
        <w:t>湖南化工职业技术学院</w:t>
      </w:r>
      <w:r>
        <w:rPr>
          <w:rFonts w:hint="eastAsia"/>
          <w:sz w:val="24"/>
        </w:rPr>
        <w:t>2023年度学校整体支出和专项资金绩效评价</w:t>
      </w:r>
      <w:r>
        <w:rPr>
          <w:rFonts w:hint="eastAsia" w:ascii="宋体" w:hAnsi="宋体" w:cs="宋体"/>
          <w:color w:val="000000"/>
          <w:kern w:val="0"/>
          <w:sz w:val="24"/>
        </w:rPr>
        <w:t>服务采购项目</w:t>
      </w:r>
      <w:bookmarkEnd w:id="8"/>
      <w:r>
        <w:rPr>
          <w:rFonts w:hint="eastAsia" w:ascii="宋体" w:hAnsi="宋体" w:cs="宋体"/>
          <w:color w:val="000000"/>
          <w:kern w:val="0"/>
          <w:sz w:val="24"/>
        </w:rPr>
        <w:t>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（二）特定资格条件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具备依法取得财政厅批准的会计师事务所执业证书的单位资质。</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0"/>
        <w:numPr>
          <w:ilvl w:val="0"/>
          <w:numId w:val="4"/>
        </w:numPr>
        <w:spacing w:before="60" w:after="80" w:line="360" w:lineRule="auto"/>
        <w:ind w:left="420" w:firstLine="0" w:firstLineChars="0"/>
        <w:rPr>
          <w:rFonts w:ascii="宋体" w:hAnsi="宋体" w:cs="宋体"/>
          <w:bCs/>
          <w:color w:val="000000"/>
          <w:sz w:val="24"/>
        </w:rPr>
      </w:pPr>
      <w:r>
        <w:rPr>
          <w:rFonts w:hint="eastAsia" w:ascii="宋体" w:hAnsi="宋体" w:cs="宋体"/>
          <w:bCs/>
          <w:color w:val="000000"/>
          <w:sz w:val="24"/>
        </w:rPr>
        <w:t>项目内容：</w:t>
      </w:r>
    </w:p>
    <w:p>
      <w:pPr>
        <w:pStyle w:val="80"/>
        <w:spacing w:before="60" w:after="80" w:line="360" w:lineRule="auto"/>
        <w:ind w:left="420" w:firstLine="0" w:firstLineChars="0"/>
        <w:jc w:val="left"/>
        <w:rPr>
          <w:rFonts w:ascii="宋体" w:hAnsi="宋体" w:cs="宋体"/>
          <w:bCs/>
          <w:color w:val="000000"/>
          <w:sz w:val="24"/>
        </w:rPr>
      </w:pPr>
      <w:r>
        <w:rPr>
          <w:rFonts w:hint="eastAsia"/>
          <w:sz w:val="24"/>
        </w:rPr>
        <w:t>1.学校整体支出绩效评价</w:t>
      </w:r>
      <w:r>
        <w:rPr>
          <w:rFonts w:hint="eastAsia"/>
          <w:sz w:val="24"/>
        </w:rPr>
        <w:br w:type="textWrapping"/>
      </w:r>
      <w:r>
        <w:rPr>
          <w:rFonts w:hint="eastAsia"/>
          <w:sz w:val="24"/>
        </w:rPr>
        <w:t>2.双一流专项资金绩效评价</w:t>
      </w:r>
      <w:r>
        <w:rPr>
          <w:rFonts w:hint="eastAsia"/>
          <w:sz w:val="24"/>
        </w:rPr>
        <w:br w:type="textWrapping"/>
      </w:r>
      <w:r>
        <w:rPr>
          <w:rFonts w:hint="eastAsia"/>
          <w:sz w:val="24"/>
        </w:rPr>
        <w:t>3.教育综合发展专项资金绩效评价</w:t>
      </w:r>
    </w:p>
    <w:p>
      <w:pPr>
        <w:ind w:firstLine="480" w:firstLineChars="200"/>
        <w:rPr>
          <w:sz w:val="24"/>
        </w:rPr>
      </w:pPr>
      <w:r>
        <w:rPr>
          <w:rFonts w:hint="eastAsia" w:ascii="宋体" w:hAnsi="宋体" w:cs="宋体"/>
          <w:bCs/>
          <w:color w:val="000000"/>
          <w:sz w:val="24"/>
        </w:rPr>
        <w:t>（二）</w:t>
      </w:r>
      <w:r>
        <w:rPr>
          <w:rFonts w:hint="eastAsia"/>
          <w:sz w:val="24"/>
        </w:rPr>
        <w:t>项目成果：</w:t>
      </w:r>
    </w:p>
    <w:p>
      <w:pPr>
        <w:spacing w:before="60" w:after="80" w:line="360" w:lineRule="auto"/>
        <w:ind w:left="479" w:leftChars="228"/>
        <w:jc w:val="left"/>
        <w:rPr>
          <w:sz w:val="24"/>
        </w:rPr>
      </w:pPr>
      <w:r>
        <w:rPr>
          <w:rFonts w:hint="eastAsia"/>
          <w:sz w:val="24"/>
        </w:rPr>
        <w:t>1.学校整体支出绩效评价报告</w:t>
      </w:r>
      <w:r>
        <w:rPr>
          <w:rFonts w:hint="eastAsia"/>
          <w:sz w:val="24"/>
        </w:rPr>
        <w:br w:type="textWrapping"/>
      </w:r>
      <w:r>
        <w:rPr>
          <w:rFonts w:hint="eastAsia"/>
          <w:sz w:val="24"/>
        </w:rPr>
        <w:t>2.双一流专项资金绩效评价报告</w:t>
      </w:r>
      <w:r>
        <w:rPr>
          <w:rFonts w:hint="eastAsia"/>
          <w:sz w:val="24"/>
        </w:rPr>
        <w:br w:type="textWrapping"/>
      </w:r>
      <w:r>
        <w:rPr>
          <w:rFonts w:hint="eastAsia"/>
          <w:sz w:val="24"/>
        </w:rPr>
        <w:t>3.教育综合发展专项资金绩效评价报告</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（三）服务时间：</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项目初步预计在2024年5月25日前完成，完成全部绩效评价工作，出具绩效评价报告。</w:t>
      </w:r>
    </w:p>
    <w:p>
      <w:pPr>
        <w:widowControl/>
        <w:numPr>
          <w:ilvl w:val="0"/>
          <w:numId w:val="5"/>
        </w:numPr>
        <w:spacing w:line="360" w:lineRule="auto"/>
        <w:ind w:firstLine="480" w:firstLineChars="200"/>
        <w:jc w:val="left"/>
        <w:rPr>
          <w:rFonts w:ascii="宋体" w:hAnsi="宋体" w:cs="宋体"/>
          <w:kern w:val="0"/>
          <w:sz w:val="24"/>
        </w:rPr>
      </w:pPr>
      <w:r>
        <w:rPr>
          <w:rFonts w:hint="eastAsia" w:ascii="宋体" w:hAnsi="宋体" w:cs="宋体"/>
          <w:kern w:val="0"/>
          <w:sz w:val="24"/>
        </w:rPr>
        <w:t>其他要求：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供应商报价含税金、绩效评价工作的印刷、差旅、食宿等所有工作经费。采购人不再承担该绩效评价项目的任何费用。</w:t>
      </w:r>
    </w:p>
    <w:p>
      <w:pPr>
        <w:spacing w:before="60" w:after="80" w:line="360" w:lineRule="auto"/>
        <w:ind w:left="479" w:leftChars="228"/>
        <w:jc w:val="left"/>
        <w:rPr>
          <w:sz w:val="24"/>
        </w:rPr>
      </w:pPr>
    </w:p>
    <w:p>
      <w:pPr>
        <w:pStyle w:val="7"/>
      </w:pPr>
    </w:p>
    <w:p>
      <w:pPr>
        <w:pStyle w:val="7"/>
      </w:pPr>
    </w:p>
    <w:p>
      <w:pPr>
        <w:widowControl/>
        <w:spacing w:line="375" w:lineRule="atLeast"/>
        <w:jc w:val="left"/>
        <w:rPr>
          <w:rFonts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19"/>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19"/>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9"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9"/>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10"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0"/>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5"/>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5"/>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5"/>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5"/>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5"/>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5"/>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5"/>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8"/>
        <w:tblW w:w="87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3327"/>
        <w:gridCol w:w="2688"/>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序号</w:t>
            </w:r>
          </w:p>
        </w:tc>
        <w:tc>
          <w:tcPr>
            <w:tcW w:w="332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服务名称</w:t>
            </w:r>
          </w:p>
        </w:tc>
        <w:tc>
          <w:tcPr>
            <w:tcW w:w="2688" w:type="dxa"/>
            <w:tcBorders>
              <w:top w:val="single" w:color="auto" w:sz="4" w:space="0"/>
              <w:left w:val="single" w:color="auto" w:sz="4" w:space="0"/>
              <w:bottom w:val="nil"/>
              <w:right w:val="single" w:color="auto" w:sz="4" w:space="0"/>
            </w:tcBorders>
            <w:vAlign w:val="center"/>
          </w:tcPr>
          <w:p>
            <w:pPr>
              <w:adjustRightInd w:val="0"/>
              <w:snapToGrid w:val="0"/>
              <w:ind w:left="-88" w:leftChars="-42"/>
              <w:jc w:val="center"/>
              <w:rPr>
                <w:rFonts w:ascii="宋体" w:hAnsi="宋体" w:cs="宋体"/>
                <w:b/>
                <w:bCs/>
                <w:color w:val="000000"/>
                <w:sz w:val="24"/>
              </w:rPr>
            </w:pPr>
            <w:r>
              <w:rPr>
                <w:rFonts w:hint="eastAsia" w:ascii="宋体" w:hAnsi="宋体" w:cs="宋体"/>
                <w:b/>
                <w:bCs/>
                <w:color w:val="000000"/>
                <w:sz w:val="24"/>
              </w:rPr>
              <w:t>费用</w:t>
            </w:r>
          </w:p>
        </w:tc>
        <w:tc>
          <w:tcPr>
            <w:tcW w:w="1417" w:type="dxa"/>
            <w:tcBorders>
              <w:top w:val="single" w:color="auto" w:sz="4" w:space="0"/>
              <w:left w:val="single" w:color="auto" w:sz="4" w:space="0"/>
              <w:bottom w:val="nil"/>
              <w:right w:val="single" w:color="auto" w:sz="4" w:space="0"/>
            </w:tcBorders>
            <w:vAlign w:val="center"/>
          </w:tcPr>
          <w:p>
            <w:pPr>
              <w:adjustRightInd w:val="0"/>
              <w:snapToGrid w:val="0"/>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1</w:t>
            </w:r>
          </w:p>
        </w:tc>
        <w:tc>
          <w:tcPr>
            <w:tcW w:w="332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c>
          <w:tcPr>
            <w:tcW w:w="268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r>
              <w:rPr>
                <w:rFonts w:hint="eastAsia" w:ascii="宋体" w:hAnsi="宋体" w:cs="宋体"/>
                <w:color w:val="000000"/>
                <w:sz w:val="24"/>
              </w:rPr>
              <w:t>2</w:t>
            </w:r>
          </w:p>
        </w:tc>
        <w:tc>
          <w:tcPr>
            <w:tcW w:w="332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c>
          <w:tcPr>
            <w:tcW w:w="268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873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rPr>
                <w:rFonts w:ascii="宋体" w:hAnsi="宋体" w:cs="宋体"/>
                <w:color w:val="000000"/>
                <w:sz w:val="24"/>
              </w:rPr>
            </w:pPr>
            <w:r>
              <w:rPr>
                <w:rFonts w:hint="eastAsia"/>
                <w:b/>
                <w:color w:val="000000"/>
                <w:sz w:val="22"/>
              </w:rPr>
              <w:t xml:space="preserve">注：报价不得超过最高限价 </w:t>
            </w:r>
          </w:p>
        </w:tc>
      </w:tr>
    </w:tbl>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1"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1"/>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7"/>
        <w:tabs>
          <w:tab w:val="left" w:pos="3420"/>
        </w:tabs>
        <w:rPr>
          <w:rFonts w:ascii="宋体" w:hAnsi="宋体"/>
          <w:bCs/>
          <w:szCs w:val="21"/>
        </w:rPr>
      </w:pPr>
    </w:p>
    <w:p>
      <w:pPr>
        <w:pStyle w:val="5"/>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5"/>
        <w:rPr>
          <w:rFonts w:hAnsi="黑体" w:cs="黑体"/>
          <w:b/>
          <w:color w:val="000000"/>
          <w:sz w:val="24"/>
        </w:rPr>
      </w:pPr>
    </w:p>
    <w:p>
      <w:pPr>
        <w:pStyle w:val="5"/>
        <w:rPr>
          <w:rFonts w:hAnsi="黑体" w:cs="黑体"/>
          <w:b/>
          <w:color w:val="000000"/>
          <w:sz w:val="24"/>
        </w:rPr>
      </w:pPr>
    </w:p>
    <w:p>
      <w:pPr>
        <w:pStyle w:val="5"/>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2" w:name="OLE_LINK1"/>
      <w:r>
        <w:rPr>
          <w:rFonts w:hint="eastAsia" w:ascii="宋体" w:hAnsi="宋体" w:cs="宋体"/>
          <w:sz w:val="24"/>
        </w:rPr>
        <w:t>盖投标单位公章</w:t>
      </w:r>
      <w:bookmarkEnd w:id="12"/>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5"/>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3" w:name="OLE_LINK3"/>
      <w:r>
        <w:rPr>
          <w:rFonts w:hint="eastAsia" w:ascii="宋体" w:hAnsi="宋体" w:cs="宋体"/>
          <w:sz w:val="24"/>
        </w:rPr>
        <w:t>投标单位</w:t>
      </w:r>
      <w:bookmarkEnd w:id="13"/>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09会议室，由工作人员登记。投标时间截止后，逾期送达的投标书将被招标单位拒收，其投标书为无效投标书。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7"/>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4" w:name="_Hlk160818547"/>
      <w:r>
        <w:rPr>
          <w:rFonts w:hint="eastAsia" w:ascii="仿宋" w:hAnsi="仿宋" w:eastAsia="仿宋" w:cs="仿宋"/>
          <w:b/>
          <w:bCs/>
          <w:sz w:val="28"/>
          <w:szCs w:val="28"/>
        </w:rPr>
        <w:t>评分标准</w:t>
      </w:r>
      <w:bookmarkEnd w:id="14"/>
    </w:p>
    <w:tbl>
      <w:tblPr>
        <w:tblStyle w:val="18"/>
        <w:tblW w:w="10089"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398"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 xml:space="preserve">以经评审满足比选文件要求且投标价格最低的投标报价为评标基准价，其价格得分计10分。其他供应商的价格得分统一按公式计算：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项目整体实施计划</w:t>
            </w:r>
          </w:p>
          <w:p>
            <w:pPr>
              <w:spacing w:line="400" w:lineRule="exact"/>
              <w:jc w:val="center"/>
              <w:rPr>
                <w:rFonts w:hAnsi="仿宋_GB2312" w:cs="仿宋_GB2312"/>
                <w:sz w:val="24"/>
              </w:rPr>
            </w:pPr>
            <w:r>
              <w:rPr>
                <w:rFonts w:hint="eastAsia" w:hAnsi="仿宋_GB2312" w:cs="仿宋_GB2312"/>
                <w:sz w:val="24"/>
              </w:rPr>
              <w:t>（20分）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针对本项目服务内容制定项目实施方案，内容包括四点：工作措施、工作方法、工作手段、工作流程。项目实施方案全面详实，工作措施完全符合服务内容及项目要求，工作手段能够有效达到项目目的，工作流程、工作方法科学合理，专业规范，针对性强，可行性高的计20分。项目实施方案遗漏项目主要内容，工作措施不符合项目要求，实施后较难达到项目目的；提出的工作流程、方法和手段缺乏科学合理性，可行性有缺陷的每处扣5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重难点分析</w:t>
            </w:r>
          </w:p>
          <w:p>
            <w:pPr>
              <w:spacing w:line="400" w:lineRule="exact"/>
              <w:jc w:val="center"/>
              <w:rPr>
                <w:rFonts w:hAnsi="仿宋_GB2312" w:cs="仿宋_GB2312"/>
                <w:sz w:val="24"/>
              </w:rPr>
            </w:pPr>
            <w:r>
              <w:rPr>
                <w:rFonts w:hint="eastAsia" w:hAnsi="仿宋_GB2312" w:cs="仿宋_GB2312"/>
                <w:sz w:val="24"/>
              </w:rPr>
              <w:t>（15分）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针对本项目服务内容提供项目重点分析、难点分析、应对措施、合理化建议。重点和难点进行分析系统深入、准确到位，提出的应对措施以及合理化建议针对性强，可行性高的计15分，重点和难点分析有严重缺漏，应对措施以及合理化建议缺乏针对性和可行性的每处扣3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质量保障措施及方案</w:t>
            </w:r>
          </w:p>
          <w:p>
            <w:pPr>
              <w:spacing w:line="400" w:lineRule="exact"/>
              <w:jc w:val="center"/>
              <w:rPr>
                <w:rFonts w:hAnsi="仿宋_GB2312" w:cs="仿宋_GB2312"/>
                <w:sz w:val="24"/>
              </w:rPr>
            </w:pPr>
            <w:r>
              <w:rPr>
                <w:rFonts w:hint="eastAsia" w:hAnsi="仿宋_GB2312" w:cs="仿宋_GB2312"/>
                <w:sz w:val="24"/>
              </w:rPr>
              <w:t>（10分）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针对本项目服务内容制定质量保障措施及方案，内容包括：项目进度计划、项目质量复核体系、质量控制措施、项目质量保障措施、安全及保密措施。项目进度计划合理，各项保障措施全面具体、合理，可行性高的计10分；项目进度计划不合理， 保障措施有缺漏，保障机制不完善，不具备可执行性的每处扣2分扣完为止；未提供的不计分。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691" w:type="dxa"/>
            <w:vAlign w:val="center"/>
          </w:tcPr>
          <w:p>
            <w:pPr>
              <w:spacing w:line="400" w:lineRule="exact"/>
              <w:jc w:val="center"/>
              <w:rPr>
                <w:rFonts w:hAnsi="仿宋_GB2312" w:cs="仿宋_GB2312"/>
                <w:sz w:val="24"/>
              </w:rPr>
            </w:pPr>
            <w:bookmarkStart w:id="15" w:name="_GoBack" w:colFirst="1" w:colLast="1"/>
            <w:r>
              <w:rPr>
                <w:rFonts w:hint="eastAsia" w:hAnsi="仿宋_GB2312" w:cs="仿宋_GB2312"/>
                <w:sz w:val="24"/>
              </w:rPr>
              <w:t>售后服务承诺（5分）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1、根据供应商提供售后服务承诺书进行评审计分，内容包括：承诺项目完成后提供一年的免费咨询服务、提供售后服务联系人信息(手机、座机、 Email)、明确售后服务响应时间，供应商按以上要求提供售后服务承诺书得3分。</w:t>
            </w:r>
          </w:p>
          <w:p>
            <w:pPr>
              <w:spacing w:line="400" w:lineRule="exact"/>
              <w:jc w:val="left"/>
              <w:rPr>
                <w:rFonts w:hAnsi="仿宋_GB2312" w:cs="仿宋_GB2312"/>
                <w:sz w:val="24"/>
              </w:rPr>
            </w:pPr>
            <w:r>
              <w:rPr>
                <w:rFonts w:hint="eastAsia" w:hAnsi="仿宋_GB2312" w:cs="仿宋_GB2312"/>
                <w:sz w:val="24"/>
              </w:rPr>
              <w:t>2、根据供应商承诺的售后服务响应时间进行分档评审，响应时间在1小时(含)以内的得2分，响应时间在2小时(含) 以内的得1分。</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供应商业绩</w:t>
            </w:r>
          </w:p>
          <w:p>
            <w:pPr>
              <w:spacing w:line="400" w:lineRule="exact"/>
              <w:jc w:val="center"/>
              <w:rPr>
                <w:rFonts w:hAnsi="仿宋_GB2312" w:cs="仿宋_GB2312"/>
                <w:sz w:val="24"/>
              </w:rPr>
            </w:pPr>
            <w:r>
              <w:rPr>
                <w:rFonts w:hint="eastAsia" w:hAnsi="仿宋_GB2312" w:cs="仿宋_GB2312"/>
                <w:sz w:val="24"/>
              </w:rPr>
              <w:t>（15分）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供应商 2021年1月1日至本项目投标截止之日承担过绩效评价相关服务项目的， 每提供一个客户案例得 3 分，同一单位服务多次不重复计分，此项最高得15分。</w:t>
            </w:r>
          </w:p>
          <w:p>
            <w:pPr>
              <w:numPr>
                <w:ilvl w:val="0"/>
                <w:numId w:val="6"/>
              </w:numPr>
              <w:spacing w:line="400" w:lineRule="exact"/>
              <w:jc w:val="left"/>
              <w:rPr>
                <w:rFonts w:hAnsi="仿宋_GB2312" w:cs="仿宋_GB2312"/>
                <w:sz w:val="24"/>
              </w:rPr>
            </w:pPr>
            <w:r>
              <w:rPr>
                <w:rFonts w:hint="eastAsia" w:hAnsi="仿宋_GB2312" w:cs="仿宋_GB2312"/>
                <w:sz w:val="24"/>
              </w:rPr>
              <w:t>需提供中标通知书或合同关键信息证明文件作为得分依据。</w:t>
            </w:r>
          </w:p>
          <w:p>
            <w:pPr>
              <w:spacing w:line="400" w:lineRule="exact"/>
              <w:jc w:val="left"/>
              <w:rPr>
                <w:rFonts w:hAnsi="仿宋_GB2312" w:cs="仿宋_GB2312"/>
                <w:sz w:val="24"/>
              </w:rPr>
            </w:pPr>
            <w:r>
              <w:rPr>
                <w:rFonts w:hint="eastAsia" w:hAnsi="仿宋_GB2312" w:cs="仿宋_GB2312"/>
                <w:sz w:val="24"/>
              </w:rPr>
              <w:t>2.以上资料均要求提供复印件。评分中出现无证明资料或专家无法凭所提供资料判断是否得分的情况，一律作不得分处理。（须提供合同复印件并加盖供应商公章，否则不计分）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企业综合实力</w:t>
            </w:r>
          </w:p>
          <w:p>
            <w:pPr>
              <w:spacing w:line="400" w:lineRule="exact"/>
              <w:jc w:val="center"/>
              <w:rPr>
                <w:rFonts w:hAnsi="仿宋_GB2312" w:cs="仿宋_GB2312"/>
                <w:sz w:val="24"/>
              </w:rPr>
            </w:pPr>
            <w:r>
              <w:rPr>
                <w:rFonts w:hint="eastAsia" w:hAnsi="仿宋_GB2312" w:cs="仿宋_GB2312"/>
                <w:sz w:val="24"/>
              </w:rPr>
              <w:t>（7分）</w:t>
            </w:r>
          </w:p>
        </w:tc>
        <w:tc>
          <w:tcPr>
            <w:tcW w:w="8398" w:type="dxa"/>
            <w:vAlign w:val="center"/>
          </w:tcPr>
          <w:p>
            <w:pPr>
              <w:numPr>
                <w:ilvl w:val="0"/>
                <w:numId w:val="7"/>
              </w:numPr>
              <w:spacing w:line="400" w:lineRule="exact"/>
              <w:jc w:val="left"/>
              <w:rPr>
                <w:rFonts w:hAnsi="仿宋_GB2312" w:cs="仿宋_GB2312"/>
                <w:sz w:val="24"/>
              </w:rPr>
            </w:pPr>
            <w:r>
              <w:rPr>
                <w:rFonts w:hint="eastAsia" w:hAnsi="仿宋_GB2312" w:cs="仿宋_GB2312"/>
                <w:sz w:val="24"/>
              </w:rPr>
              <w:t>预算执行绩效管理或绩效评价方面的获奖(荣誉、表彰)情况：提供一项省级及以上政府部门预算执行绩效管理或绩效评价获奖得3分；提供一项市级政府部门预算执行绩效管理或绩效评价获奖得2分；提供一项县级政府部门预算执行绩效管理或绩效评价获奖得2分。本项最高得3分。</w:t>
            </w:r>
          </w:p>
          <w:p>
            <w:pPr>
              <w:numPr>
                <w:ilvl w:val="0"/>
                <w:numId w:val="7"/>
              </w:numPr>
              <w:spacing w:line="400" w:lineRule="exact"/>
              <w:jc w:val="left"/>
              <w:rPr>
                <w:rFonts w:hAnsi="仿宋_GB2312" w:cs="仿宋_GB2312"/>
                <w:sz w:val="24"/>
              </w:rPr>
            </w:pPr>
            <w:r>
              <w:rPr>
                <w:rFonts w:hint="eastAsia" w:hAnsi="仿宋_GB2312" w:cs="仿宋_GB2312"/>
                <w:sz w:val="24"/>
              </w:rPr>
              <w:t>具备质量管理体系认证（ISO9001）的计2分，证书需在有效期内，否则不计分。本项最高得2分。</w:t>
            </w:r>
          </w:p>
          <w:p>
            <w:pPr>
              <w:numPr>
                <w:ilvl w:val="0"/>
                <w:numId w:val="7"/>
              </w:numPr>
              <w:spacing w:line="400" w:lineRule="exact"/>
              <w:jc w:val="left"/>
              <w:rPr>
                <w:rFonts w:hAnsi="仿宋_GB2312" w:cs="仿宋_GB2312"/>
                <w:sz w:val="24"/>
              </w:rPr>
            </w:pPr>
            <w:r>
              <w:rPr>
                <w:rFonts w:hint="eastAsia" w:hAnsi="仿宋_GB2312" w:cs="仿宋_GB2312"/>
                <w:sz w:val="24"/>
              </w:rPr>
              <w:t>企业具备健全的内部控制制度，包括但不限于：①现场管理制度；②质量控制制度；③廉洁制度；④保密制度。制度健全、针对性强的计2分；有缺漏项或不合理的，每处扣1分，有欠缺或不完善的，每处扣1分，扣完为止。未提供不得分。</w:t>
            </w:r>
          </w:p>
          <w:p>
            <w:pPr>
              <w:spacing w:line="400" w:lineRule="exact"/>
              <w:jc w:val="left"/>
              <w:rPr>
                <w:rFonts w:hAnsi="仿宋_GB2312" w:cs="仿宋_GB2312"/>
                <w:sz w:val="24"/>
              </w:rPr>
            </w:pPr>
            <w:r>
              <w:rPr>
                <w:rFonts w:hint="eastAsia" w:hAnsi="仿宋_GB2312" w:cs="仿宋_GB2312"/>
                <w:sz w:val="24"/>
              </w:rPr>
              <w:t>1.要求提供奖项照片或获奖（荣誉）证书等证明材料作为得分依据。</w:t>
            </w:r>
          </w:p>
          <w:p>
            <w:pPr>
              <w:spacing w:line="400" w:lineRule="exact"/>
              <w:jc w:val="left"/>
              <w:rPr>
                <w:rFonts w:hAnsi="仿宋_GB2312" w:cs="仿宋_GB2312"/>
                <w:sz w:val="24"/>
              </w:rPr>
            </w:pPr>
            <w:r>
              <w:rPr>
                <w:rFonts w:hint="eastAsia" w:hAnsi="仿宋_GB2312" w:cs="仿宋_GB2312"/>
                <w:sz w:val="24"/>
              </w:rPr>
              <w:t>2.以上资料要求提供复印件（或官方网站截图）。评分中出现无证明资料或专家无法凭所提供资料判断是否得分的情况，一律作不得分处理。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项目负责人</w:t>
            </w:r>
          </w:p>
          <w:p>
            <w:pPr>
              <w:spacing w:line="400" w:lineRule="exact"/>
              <w:jc w:val="center"/>
              <w:rPr>
                <w:rFonts w:hAnsi="仿宋_GB2312" w:cs="仿宋_GB2312"/>
                <w:sz w:val="24"/>
              </w:rPr>
            </w:pPr>
            <w:r>
              <w:rPr>
                <w:rFonts w:hint="eastAsia" w:hAnsi="仿宋_GB2312" w:cs="仿宋_GB2312"/>
                <w:sz w:val="24"/>
              </w:rPr>
              <w:t>（10分）</w:t>
            </w:r>
          </w:p>
        </w:tc>
        <w:tc>
          <w:tcPr>
            <w:tcW w:w="8398" w:type="dxa"/>
            <w:vAlign w:val="center"/>
          </w:tcPr>
          <w:p>
            <w:pPr>
              <w:numPr>
                <w:ilvl w:val="0"/>
                <w:numId w:val="8"/>
              </w:numPr>
              <w:spacing w:line="400" w:lineRule="exact"/>
              <w:jc w:val="left"/>
              <w:rPr>
                <w:rFonts w:hAnsi="仿宋_GB2312" w:cs="仿宋_GB2312"/>
                <w:sz w:val="24"/>
              </w:rPr>
            </w:pPr>
            <w:r>
              <w:rPr>
                <w:rFonts w:hint="eastAsia" w:hAnsi="仿宋_GB2312" w:cs="仿宋_GB2312"/>
                <w:sz w:val="24"/>
              </w:rPr>
              <w:t xml:space="preserve">项目负责人具有注册会计师和高级会计师的计4分，具有注册会计师和中级会计会计师的计3分，具有高级会计师的计2分，具有注册会计师的计1分，本项最高得4分。  </w:t>
            </w:r>
          </w:p>
          <w:p>
            <w:pPr>
              <w:numPr>
                <w:ilvl w:val="0"/>
                <w:numId w:val="8"/>
              </w:numPr>
              <w:spacing w:line="400" w:lineRule="exact"/>
              <w:jc w:val="left"/>
              <w:rPr>
                <w:rFonts w:hAnsi="仿宋_GB2312" w:cs="仿宋_GB2312"/>
                <w:sz w:val="24"/>
              </w:rPr>
            </w:pPr>
            <w:r>
              <w:rPr>
                <w:rFonts w:hint="eastAsia" w:hAnsi="仿宋_GB2312" w:cs="仿宋_GB2312"/>
                <w:sz w:val="24"/>
              </w:rPr>
              <w:t xml:space="preserve">项目负责人具有20年以上工作经验的计3分，项目负责人具有15年以上工作经验的计2分，项目负责人具有10年以上工作经验的计1分，本项最高得3分。  </w:t>
            </w:r>
          </w:p>
          <w:p>
            <w:pPr>
              <w:spacing w:line="400" w:lineRule="exact"/>
              <w:jc w:val="left"/>
              <w:rPr>
                <w:rFonts w:hAnsi="仿宋_GB2312" w:cs="仿宋_GB2312"/>
                <w:sz w:val="24"/>
              </w:rPr>
            </w:pPr>
            <w:r>
              <w:rPr>
                <w:rFonts w:hint="eastAsia" w:hAnsi="仿宋_GB2312" w:cs="仿宋_GB2312"/>
                <w:sz w:val="24"/>
              </w:rPr>
              <w:t>3.项目负责人具有政府或高校预算绩效管理或者绩效评价工作经验的得3分，本项最高得3分。</w:t>
            </w:r>
          </w:p>
          <w:p>
            <w:pPr>
              <w:spacing w:line="400" w:lineRule="exact"/>
              <w:jc w:val="left"/>
              <w:rPr>
                <w:rFonts w:hAnsi="仿宋_GB2312" w:cs="仿宋_GB2312"/>
                <w:sz w:val="24"/>
              </w:rPr>
            </w:pPr>
            <w:r>
              <w:rPr>
                <w:rFonts w:hint="eastAsia" w:hAnsi="仿宋_GB2312" w:cs="仿宋_GB2312"/>
                <w:sz w:val="24"/>
              </w:rPr>
              <w:t xml:space="preserve">注：①需提供项目负责人所在供应商单位近三个月的社保证明材料或加盖公章声明函)。如供应商为新成立企业且成立时间不足三个月可提供加盖公章的情况说明或者证明材料。                           </w:t>
            </w:r>
          </w:p>
          <w:p>
            <w:pPr>
              <w:spacing w:line="400" w:lineRule="exact"/>
              <w:jc w:val="left"/>
              <w:rPr>
                <w:rFonts w:hAnsi="仿宋_GB2312" w:cs="仿宋_GB2312"/>
                <w:sz w:val="24"/>
              </w:rPr>
            </w:pPr>
            <w:r>
              <w:rPr>
                <w:rFonts w:hint="eastAsia" w:hAnsi="仿宋_GB2312" w:cs="仿宋_GB2312"/>
                <w:sz w:val="24"/>
              </w:rPr>
              <w:t xml:space="preserve">②以上资料均要求提供复印件加盖公章。评分中出现无证明资料或专家无法凭所提供资料判断是否得分的情况， 一律作不得分处理。       </w:t>
            </w:r>
          </w:p>
          <w:p>
            <w:pPr>
              <w:spacing w:line="400" w:lineRule="exact"/>
              <w:jc w:val="left"/>
              <w:rPr>
                <w:rFonts w:hAnsi="仿宋_GB2312" w:cs="仿宋_GB2312"/>
                <w:sz w:val="24"/>
              </w:rPr>
            </w:pPr>
            <w:r>
              <w:rPr>
                <w:rFonts w:hint="eastAsia" w:hAnsi="仿宋_GB2312" w:cs="仿宋_GB2312"/>
                <w:sz w:val="24"/>
              </w:rPr>
              <w:t xml:space="preserve">③社保证明资料应当至少包含医疗保险，证明资料可为社保收缴部门盖章证明资料、社保窗口打印资料、社保官网截图或供应商加盖公章声明函。     </w:t>
            </w:r>
          </w:p>
          <w:p>
            <w:pPr>
              <w:spacing w:line="400" w:lineRule="exact"/>
              <w:jc w:val="left"/>
              <w:rPr>
                <w:rFonts w:hAnsi="仿宋_GB2312" w:cs="仿宋_GB2312"/>
                <w:sz w:val="24"/>
              </w:rPr>
            </w:pPr>
            <w:r>
              <w:rPr>
                <w:rFonts w:hint="eastAsia" w:hAnsi="仿宋_GB2312" w:cs="仿宋_GB2312"/>
                <w:sz w:val="24"/>
              </w:rPr>
              <w:t>④如涉及考察人员工作经验，要求提供项目合同关键信息作为得分依据， 通过合同关键信息无法判断是否得分的，还须同时提供能证明得分的其它证明资料，如项目报告或合同甲方出具的证明文件等。</w:t>
            </w:r>
          </w:p>
          <w:p>
            <w:pPr>
              <w:spacing w:line="400" w:lineRule="exact"/>
              <w:jc w:val="left"/>
              <w:rPr>
                <w:rFonts w:hAnsi="仿宋_GB2312" w:cs="仿宋_GB2312"/>
                <w:sz w:val="24"/>
              </w:rPr>
            </w:pPr>
            <w:r>
              <w:rPr>
                <w:rFonts w:hint="eastAsia" w:hAnsi="仿宋_GB2312" w:cs="仿宋_GB2312"/>
                <w:sz w:val="24"/>
              </w:rPr>
              <w:t>以上所提供的证明文件须加盖供应商公章，否则不计分。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项目团队</w:t>
            </w:r>
          </w:p>
          <w:p>
            <w:pPr>
              <w:spacing w:line="400" w:lineRule="exact"/>
              <w:jc w:val="center"/>
              <w:rPr>
                <w:rFonts w:hAnsi="仿宋_GB2312" w:cs="仿宋_GB2312"/>
                <w:sz w:val="24"/>
              </w:rPr>
            </w:pPr>
            <w:r>
              <w:rPr>
                <w:rFonts w:hint="eastAsia" w:hAnsi="仿宋_GB2312" w:cs="仿宋_GB2312"/>
                <w:sz w:val="24"/>
              </w:rPr>
              <w:t>（8分）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拟安排的项目主要团队成员(不含项目负责人) 须为供应商单位员工且数量不少于4人，否则不得分，在此基础上，按以下标准进行评分：</w:t>
            </w:r>
          </w:p>
          <w:p>
            <w:pPr>
              <w:spacing w:line="400" w:lineRule="exact"/>
              <w:jc w:val="left"/>
              <w:rPr>
                <w:rFonts w:hAnsi="仿宋_GB2312" w:cs="仿宋_GB2312"/>
                <w:sz w:val="24"/>
              </w:rPr>
            </w:pPr>
            <w:r>
              <w:rPr>
                <w:rFonts w:hint="eastAsia" w:hAnsi="仿宋_GB2312" w:cs="仿宋_GB2312"/>
                <w:sz w:val="24"/>
              </w:rPr>
              <w:t xml:space="preserve">1.团队成员具有政府或高校预算绩效管理或者绩效评价工作经验的，每提供一个团队成员案例得2分，此项最高得4分。 </w:t>
            </w:r>
          </w:p>
          <w:p>
            <w:pPr>
              <w:spacing w:line="400" w:lineRule="exact"/>
              <w:jc w:val="left"/>
              <w:rPr>
                <w:rFonts w:hAnsi="仿宋_GB2312" w:cs="仿宋_GB2312"/>
                <w:sz w:val="24"/>
              </w:rPr>
            </w:pPr>
            <w:r>
              <w:rPr>
                <w:rFonts w:hint="eastAsia" w:hAnsi="仿宋_GB2312" w:cs="仿宋_GB2312"/>
                <w:sz w:val="24"/>
              </w:rPr>
              <w:t xml:space="preserve">2.团队成员具有注册会计师(CPA) 或高级会计师相关证书的，每1名得2分，最高4分；         </w:t>
            </w:r>
          </w:p>
          <w:p>
            <w:pPr>
              <w:spacing w:line="400" w:lineRule="exact"/>
              <w:jc w:val="left"/>
              <w:rPr>
                <w:rFonts w:hAnsi="仿宋_GB2312" w:cs="仿宋_GB2312"/>
                <w:sz w:val="24"/>
              </w:rPr>
            </w:pPr>
            <w:r>
              <w:rPr>
                <w:rFonts w:hint="eastAsia" w:hAnsi="仿宋_GB2312" w:cs="仿宋_GB2312"/>
                <w:sz w:val="24"/>
              </w:rPr>
              <w:t>3. 同一人如满足多项得分要求，则按照得分最高的进行计分，不重复计分。</w:t>
            </w:r>
          </w:p>
          <w:p>
            <w:pPr>
              <w:spacing w:line="400" w:lineRule="exact"/>
              <w:jc w:val="left"/>
              <w:rPr>
                <w:rFonts w:hAnsi="仿宋_GB2312" w:cs="仿宋_GB2312"/>
                <w:sz w:val="24"/>
              </w:rPr>
            </w:pPr>
            <w:r>
              <w:rPr>
                <w:rFonts w:hint="eastAsia" w:hAnsi="仿宋_GB2312" w:cs="仿宋_GB2312"/>
                <w:sz w:val="24"/>
              </w:rPr>
              <w:t>注：(1) 团队成员必须为供应商自有员工，提供通过供应商对员工购买的近三个月的社保证明(补缴无效，证明资料可为社保收缴部门盖章证明资料、社 保窗口打印资料或供应商加盖公章声明函)，如社保材料因社保部门原因暂时无法取得，则可以往前 顺延一个月，但须提供社保部门出具的相关有效证明材料)。如供应商为新成立企业且成立时间不足 三个月可提供加盖公章的情况说明或者证明材料亦视为符合。</w:t>
            </w:r>
          </w:p>
          <w:p>
            <w:pPr>
              <w:spacing w:line="400" w:lineRule="exact"/>
              <w:jc w:val="left"/>
              <w:rPr>
                <w:rFonts w:hAnsi="仿宋_GB2312" w:cs="仿宋_GB2312"/>
                <w:sz w:val="24"/>
              </w:rPr>
            </w:pPr>
            <w:r>
              <w:rPr>
                <w:rFonts w:hint="eastAsia" w:hAnsi="仿宋_GB2312" w:cs="仿宋_GB2312"/>
                <w:sz w:val="24"/>
              </w:rPr>
              <w:t>(2) 以上资料均要求提供复印件加盖供应商公章。评分中出现无证明资料或专家无法凭所提供资料判断是否得分的情况，一律作不得分处理。</w:t>
            </w:r>
          </w:p>
          <w:p>
            <w:pPr>
              <w:spacing w:line="400" w:lineRule="exact"/>
              <w:jc w:val="left"/>
              <w:rPr>
                <w:rFonts w:hAnsi="仿宋_GB2312" w:cs="仿宋_GB2312"/>
                <w:sz w:val="24"/>
              </w:rPr>
            </w:pPr>
            <w:r>
              <w:rPr>
                <w:rFonts w:hint="eastAsia" w:hAnsi="仿宋_GB2312" w:cs="仿宋_GB2312"/>
                <w:sz w:val="24"/>
              </w:rPr>
              <w:t>(3) 如涉及考察人员工作经验，要求提供项目合同关键信息作为得分依据， 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398"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6E7E5"/>
    <w:multiLevelType w:val="singleLevel"/>
    <w:tmpl w:val="AD96E7E5"/>
    <w:lvl w:ilvl="0" w:tentative="0">
      <w:start w:val="4"/>
      <w:numFmt w:val="chineseCounting"/>
      <w:suff w:val="nothing"/>
      <w:lvlText w:val="（%1）"/>
      <w:lvlJc w:val="left"/>
      <w:rPr>
        <w:rFonts w:hint="eastAsia"/>
      </w:rPr>
    </w:lvl>
  </w:abstractNum>
  <w:abstractNum w:abstractNumId="1">
    <w:nsid w:val="C497D05D"/>
    <w:multiLevelType w:val="singleLevel"/>
    <w:tmpl w:val="C497D05D"/>
    <w:lvl w:ilvl="0" w:tentative="0">
      <w:start w:val="1"/>
      <w:numFmt w:val="chineseCounting"/>
      <w:suff w:val="nothing"/>
      <w:lvlText w:val="（%1）"/>
      <w:lvlJc w:val="left"/>
      <w:rPr>
        <w:rFonts w:hint="eastAsia"/>
      </w:rPr>
    </w:lvl>
  </w:abstractNum>
  <w:abstractNum w:abstractNumId="2">
    <w:nsid w:val="C56BD483"/>
    <w:multiLevelType w:val="singleLevel"/>
    <w:tmpl w:val="C56BD483"/>
    <w:lvl w:ilvl="0" w:tentative="0">
      <w:start w:val="1"/>
      <w:numFmt w:val="decimal"/>
      <w:suff w:val="nothing"/>
      <w:lvlText w:val="%1、"/>
      <w:lvlJc w:val="left"/>
    </w:lvl>
  </w:abstractNum>
  <w:abstractNum w:abstractNumId="3">
    <w:nsid w:val="F0B8EE73"/>
    <w:multiLevelType w:val="singleLevel"/>
    <w:tmpl w:val="F0B8EE73"/>
    <w:lvl w:ilvl="0" w:tentative="0">
      <w:start w:val="1"/>
      <w:numFmt w:val="decimal"/>
      <w:lvlText w:val="%1."/>
      <w:lvlJc w:val="left"/>
      <w:pPr>
        <w:tabs>
          <w:tab w:val="left" w:pos="312"/>
        </w:tabs>
      </w:pPr>
    </w:lvl>
  </w:abstractNum>
  <w:abstractNum w:abstractNumId="4">
    <w:nsid w:val="4B5C8DBE"/>
    <w:multiLevelType w:val="singleLevel"/>
    <w:tmpl w:val="4B5C8DBE"/>
    <w:lvl w:ilvl="0" w:tentative="0">
      <w:start w:val="1"/>
      <w:numFmt w:val="decimal"/>
      <w:lvlText w:val="%1."/>
      <w:lvlJc w:val="left"/>
      <w:pPr>
        <w:tabs>
          <w:tab w:val="left" w:pos="312"/>
        </w:tabs>
      </w:pPr>
    </w:lvl>
  </w:abstractNum>
  <w:abstractNum w:abstractNumId="5">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786DF8C2"/>
    <w:multiLevelType w:val="singleLevel"/>
    <w:tmpl w:val="786DF8C2"/>
    <w:lvl w:ilvl="0" w:tentative="0">
      <w:start w:val="8"/>
      <w:numFmt w:val="chineseCounting"/>
      <w:suff w:val="nothing"/>
      <w:lvlText w:val="%1、"/>
      <w:lvlJc w:val="left"/>
      <w:rPr>
        <w:rFonts w:hint="eastAsia"/>
      </w:rPr>
    </w:lvl>
  </w:abstractNum>
  <w:num w:numId="1">
    <w:abstractNumId w:val="6"/>
  </w:num>
  <w:num w:numId="2">
    <w:abstractNumId w:val="5"/>
  </w:num>
  <w:num w:numId="3">
    <w:abstractNumId w:val="7"/>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B4AC9"/>
    <w:rsid w:val="000C0006"/>
    <w:rsid w:val="000C2AAD"/>
    <w:rsid w:val="000C4FCD"/>
    <w:rsid w:val="000C7B07"/>
    <w:rsid w:val="000D17C4"/>
    <w:rsid w:val="000D2C1F"/>
    <w:rsid w:val="000E208E"/>
    <w:rsid w:val="000E22D8"/>
    <w:rsid w:val="000E2FCA"/>
    <w:rsid w:val="000E3EB7"/>
    <w:rsid w:val="000E6B0E"/>
    <w:rsid w:val="000F59A8"/>
    <w:rsid w:val="00103E0F"/>
    <w:rsid w:val="001041D4"/>
    <w:rsid w:val="001056D9"/>
    <w:rsid w:val="001111B1"/>
    <w:rsid w:val="001112DE"/>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2598"/>
    <w:rsid w:val="004A47B4"/>
    <w:rsid w:val="004A4A1C"/>
    <w:rsid w:val="004B69EE"/>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B274D"/>
    <w:rsid w:val="006B5265"/>
    <w:rsid w:val="006C0664"/>
    <w:rsid w:val="006E407C"/>
    <w:rsid w:val="006F43C4"/>
    <w:rsid w:val="00700865"/>
    <w:rsid w:val="00706CE7"/>
    <w:rsid w:val="00711BA2"/>
    <w:rsid w:val="00712128"/>
    <w:rsid w:val="00712F84"/>
    <w:rsid w:val="007154F1"/>
    <w:rsid w:val="00722BBF"/>
    <w:rsid w:val="00731F69"/>
    <w:rsid w:val="00743CAF"/>
    <w:rsid w:val="00750DC3"/>
    <w:rsid w:val="0077399D"/>
    <w:rsid w:val="00773AC8"/>
    <w:rsid w:val="00785A55"/>
    <w:rsid w:val="007A6C65"/>
    <w:rsid w:val="007B01B3"/>
    <w:rsid w:val="007B05D1"/>
    <w:rsid w:val="007C7C41"/>
    <w:rsid w:val="007D2559"/>
    <w:rsid w:val="007D4892"/>
    <w:rsid w:val="007D6D66"/>
    <w:rsid w:val="007D6E0E"/>
    <w:rsid w:val="007E0833"/>
    <w:rsid w:val="00801062"/>
    <w:rsid w:val="0080583D"/>
    <w:rsid w:val="0081046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86D1F"/>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0011"/>
    <w:rsid w:val="00B66748"/>
    <w:rsid w:val="00B7493C"/>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93926A6"/>
    <w:rsid w:val="0D3317AF"/>
    <w:rsid w:val="111451B1"/>
    <w:rsid w:val="11AA79EB"/>
    <w:rsid w:val="12476873"/>
    <w:rsid w:val="145F6D78"/>
    <w:rsid w:val="14ED3D4F"/>
    <w:rsid w:val="15DD1DF8"/>
    <w:rsid w:val="19996254"/>
    <w:rsid w:val="1B943177"/>
    <w:rsid w:val="1C0E2CEB"/>
    <w:rsid w:val="1C6019B5"/>
    <w:rsid w:val="1CB15175"/>
    <w:rsid w:val="1D4871EB"/>
    <w:rsid w:val="1DED3012"/>
    <w:rsid w:val="1E6A6074"/>
    <w:rsid w:val="21482DD7"/>
    <w:rsid w:val="215D592A"/>
    <w:rsid w:val="24AC4A25"/>
    <w:rsid w:val="26A54C67"/>
    <w:rsid w:val="2A166BC1"/>
    <w:rsid w:val="2D6F69C0"/>
    <w:rsid w:val="31647D66"/>
    <w:rsid w:val="358A2DE4"/>
    <w:rsid w:val="36993C98"/>
    <w:rsid w:val="36A42976"/>
    <w:rsid w:val="371A4C8C"/>
    <w:rsid w:val="3744399B"/>
    <w:rsid w:val="38136454"/>
    <w:rsid w:val="3B0F6ACC"/>
    <w:rsid w:val="3BEE6177"/>
    <w:rsid w:val="3D422619"/>
    <w:rsid w:val="3EEF109D"/>
    <w:rsid w:val="40E43974"/>
    <w:rsid w:val="40E616BA"/>
    <w:rsid w:val="4349552E"/>
    <w:rsid w:val="4390748B"/>
    <w:rsid w:val="45EE264F"/>
    <w:rsid w:val="47EE40E5"/>
    <w:rsid w:val="47F87C39"/>
    <w:rsid w:val="49CA0BFE"/>
    <w:rsid w:val="49FF0303"/>
    <w:rsid w:val="4B386DCB"/>
    <w:rsid w:val="507A645F"/>
    <w:rsid w:val="50C55DBA"/>
    <w:rsid w:val="53A33245"/>
    <w:rsid w:val="53B31AE1"/>
    <w:rsid w:val="54F16ABB"/>
    <w:rsid w:val="55603AEE"/>
    <w:rsid w:val="564B20A8"/>
    <w:rsid w:val="586340B6"/>
    <w:rsid w:val="597B5CF8"/>
    <w:rsid w:val="5CE13DF9"/>
    <w:rsid w:val="5D7E5824"/>
    <w:rsid w:val="62AD0052"/>
    <w:rsid w:val="645E6340"/>
    <w:rsid w:val="665146E0"/>
    <w:rsid w:val="66A61F9B"/>
    <w:rsid w:val="68320EBE"/>
    <w:rsid w:val="68840209"/>
    <w:rsid w:val="696372E0"/>
    <w:rsid w:val="6CCB679F"/>
    <w:rsid w:val="6D7825A4"/>
    <w:rsid w:val="6D8F68C7"/>
    <w:rsid w:val="7151042E"/>
    <w:rsid w:val="76A0780E"/>
    <w:rsid w:val="777D621D"/>
    <w:rsid w:val="7D415502"/>
    <w:rsid w:val="7EC116BC"/>
    <w:rsid w:val="7F0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jc w:val="center"/>
      <w:outlineLvl w:val="0"/>
    </w:pPr>
    <w:rPr>
      <w:szCs w:val="20"/>
    </w:rPr>
  </w:style>
  <w:style w:type="paragraph" w:styleId="3">
    <w:name w:val="heading 2"/>
    <w:basedOn w:val="1"/>
    <w:next w:val="1"/>
    <w:link w:val="85"/>
    <w:qFormat/>
    <w:uiPriority w:val="0"/>
    <w:pPr>
      <w:keepNext/>
      <w:keepLines/>
      <w:spacing w:line="360" w:lineRule="auto"/>
      <w:outlineLvl w:val="1"/>
    </w:pPr>
    <w:rPr>
      <w:rFonts w:ascii="Arial" w:hAnsi="Arial"/>
      <w:b/>
      <w:bCs/>
      <w:sz w:val="24"/>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rFonts w:ascii="Calibri" w:hAnsi="Calibri"/>
      <w:sz w:val="24"/>
      <w:szCs w:val="22"/>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link w:val="89"/>
    <w:semiHidden/>
    <w:unhideWhenUsed/>
    <w:qFormat/>
    <w:uiPriority w:val="0"/>
    <w:pPr>
      <w:jc w:val="left"/>
    </w:pPr>
  </w:style>
  <w:style w:type="paragraph" w:styleId="7">
    <w:name w:val="Body Text"/>
    <w:basedOn w:val="1"/>
    <w:link w:val="86"/>
    <w:qFormat/>
    <w:uiPriority w:val="0"/>
    <w:pPr>
      <w:spacing w:after="120"/>
    </w:pPr>
  </w:style>
  <w:style w:type="paragraph" w:styleId="8">
    <w:name w:val="Body Text Indent"/>
    <w:basedOn w:val="1"/>
    <w:next w:val="9"/>
    <w:link w:val="81"/>
    <w:autoRedefine/>
    <w:qFormat/>
    <w:uiPriority w:val="0"/>
    <w:pPr>
      <w:adjustRightInd w:val="0"/>
      <w:snapToGrid w:val="0"/>
      <w:spacing w:line="360" w:lineRule="atLeast"/>
      <w:ind w:firstLine="480"/>
    </w:pPr>
    <w:rPr>
      <w:sz w:val="24"/>
    </w:rPr>
  </w:style>
  <w:style w:type="paragraph" w:styleId="9">
    <w:name w:val="Body Text Indent 2"/>
    <w:basedOn w:val="1"/>
    <w:autoRedefine/>
    <w:qFormat/>
    <w:uiPriority w:val="99"/>
    <w:pPr>
      <w:spacing w:after="120" w:line="480" w:lineRule="auto"/>
      <w:ind w:left="420" w:leftChars="200"/>
    </w:pPr>
    <w:rPr>
      <w:kern w:val="0"/>
      <w:sz w:val="24"/>
    </w:rPr>
  </w:style>
  <w:style w:type="paragraph" w:styleId="10">
    <w:name w:val="Balloon Text"/>
    <w:basedOn w:val="1"/>
    <w:autoRedefine/>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Body Text 2"/>
    <w:basedOn w:val="1"/>
    <w:link w:val="83"/>
    <w:autoRedefine/>
    <w:qFormat/>
    <w:uiPriority w:val="0"/>
    <w:pPr>
      <w:spacing w:after="120" w:line="480" w:lineRule="auto"/>
    </w:pPr>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6"/>
    <w:next w:val="6"/>
    <w:link w:val="90"/>
    <w:autoRedefine/>
    <w:semiHidden/>
    <w:unhideWhenUsed/>
    <w:qFormat/>
    <w:uiPriority w:val="0"/>
    <w:rPr>
      <w:b/>
      <w:bCs/>
    </w:rPr>
  </w:style>
  <w:style w:type="paragraph" w:styleId="17">
    <w:name w:val="Body Text First Indent 2"/>
    <w:basedOn w:val="8"/>
    <w:next w:val="1"/>
    <w:link w:val="82"/>
    <w:autoRedefine/>
    <w:qFormat/>
    <w:uiPriority w:val="0"/>
    <w:pPr>
      <w:adjustRightInd/>
      <w:snapToGrid/>
      <w:spacing w:after="120" w:line="240" w:lineRule="auto"/>
      <w:ind w:left="420" w:leftChars="200" w:firstLine="420" w:firstLineChars="200"/>
    </w:pPr>
    <w:rPr>
      <w:sz w:val="21"/>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FollowedHyperlink"/>
    <w:unhideWhenUsed/>
    <w:qFormat/>
    <w:uiPriority w:val="99"/>
    <w:rPr>
      <w:color w:val="800080"/>
      <w:u w:val="single"/>
    </w:rPr>
  </w:style>
  <w:style w:type="character" w:styleId="23">
    <w:name w:val="Emphasis"/>
    <w:autoRedefine/>
    <w:qFormat/>
    <w:uiPriority w:val="0"/>
    <w:rPr>
      <w:color w:val="CC0000"/>
    </w:rPr>
  </w:style>
  <w:style w:type="character" w:styleId="24">
    <w:name w:val="Hyperlink"/>
    <w:autoRedefine/>
    <w:qFormat/>
    <w:uiPriority w:val="99"/>
    <w:rPr>
      <w:color w:val="990000"/>
      <w:sz w:val="18"/>
      <w:szCs w:val="18"/>
      <w:u w:val="none"/>
    </w:rPr>
  </w:style>
  <w:style w:type="character" w:styleId="25">
    <w:name w:val="annotation reference"/>
    <w:basedOn w:val="20"/>
    <w:semiHidden/>
    <w:unhideWhenUsed/>
    <w:qFormat/>
    <w:uiPriority w:val="0"/>
    <w:rPr>
      <w:sz w:val="21"/>
      <w:szCs w:val="21"/>
    </w:rPr>
  </w:style>
  <w:style w:type="character" w:customStyle="1" w:styleId="26">
    <w:name w:val="style21"/>
    <w:qFormat/>
    <w:uiPriority w:val="0"/>
    <w:rPr>
      <w:sz w:val="22"/>
      <w:szCs w:val="22"/>
    </w:rPr>
  </w:style>
  <w:style w:type="character" w:customStyle="1" w:styleId="27">
    <w:name w:val="font21"/>
    <w:autoRedefine/>
    <w:qFormat/>
    <w:uiPriority w:val="0"/>
    <w:rPr>
      <w:rFonts w:hint="eastAsia" w:ascii="宋体" w:hAnsi="宋体" w:eastAsia="宋体" w:cs="宋体"/>
      <w:color w:val="000000"/>
      <w:sz w:val="20"/>
      <w:szCs w:val="20"/>
      <w:u w:val="none"/>
    </w:rPr>
  </w:style>
  <w:style w:type="character" w:customStyle="1" w:styleId="28">
    <w:name w:val="font41"/>
    <w:qFormat/>
    <w:uiPriority w:val="0"/>
    <w:rPr>
      <w:rFonts w:ascii="微软雅黑" w:hAnsi="微软雅黑" w:eastAsia="微软雅黑" w:cs="微软雅黑"/>
      <w:b/>
      <w:color w:val="000000"/>
      <w:sz w:val="40"/>
      <w:szCs w:val="40"/>
      <w:u w:val="none"/>
    </w:rPr>
  </w:style>
  <w:style w:type="character" w:customStyle="1" w:styleId="29">
    <w:name w:val="font01"/>
    <w:autoRedefine/>
    <w:qFormat/>
    <w:uiPriority w:val="0"/>
    <w:rPr>
      <w:rFonts w:hint="eastAsia" w:ascii="宋体" w:hAnsi="宋体" w:eastAsia="宋体" w:cs="宋体"/>
      <w:color w:val="000000"/>
      <w:sz w:val="22"/>
      <w:szCs w:val="22"/>
      <w:u w:val="none"/>
    </w:rPr>
  </w:style>
  <w:style w:type="character" w:customStyle="1" w:styleId="30">
    <w:name w:val="font31"/>
    <w:autoRedefine/>
    <w:qFormat/>
    <w:uiPriority w:val="0"/>
    <w:rPr>
      <w:rFonts w:hint="eastAsia" w:ascii="微软雅黑" w:hAnsi="微软雅黑" w:eastAsia="微软雅黑" w:cs="微软雅黑"/>
      <w:color w:val="000000"/>
      <w:sz w:val="20"/>
      <w:szCs w:val="20"/>
      <w:u w:val="none"/>
    </w:rPr>
  </w:style>
  <w:style w:type="paragraph" w:customStyle="1" w:styleId="31">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2">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4">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3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5">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7">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0">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4">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8">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9">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1">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3">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6">
    <w:name w:val="font51"/>
    <w:basedOn w:val="20"/>
    <w:autoRedefine/>
    <w:qFormat/>
    <w:uiPriority w:val="0"/>
    <w:rPr>
      <w:rFonts w:hint="eastAsia" w:ascii="宋体" w:hAnsi="宋体" w:eastAsia="宋体" w:cs="宋体"/>
      <w:color w:val="000000"/>
      <w:sz w:val="24"/>
      <w:szCs w:val="24"/>
      <w:u w:val="none"/>
    </w:rPr>
  </w:style>
  <w:style w:type="character" w:customStyle="1" w:styleId="77">
    <w:name w:val="font81"/>
    <w:basedOn w:val="20"/>
    <w:autoRedefine/>
    <w:qFormat/>
    <w:uiPriority w:val="0"/>
    <w:rPr>
      <w:rFonts w:hint="eastAsia" w:ascii="宋体" w:hAnsi="宋体" w:eastAsia="宋体" w:cs="宋体"/>
      <w:color w:val="000000"/>
      <w:sz w:val="24"/>
      <w:szCs w:val="24"/>
      <w:u w:val="none"/>
    </w:rPr>
  </w:style>
  <w:style w:type="character" w:customStyle="1" w:styleId="78">
    <w:name w:val="font151"/>
    <w:basedOn w:val="20"/>
    <w:autoRedefine/>
    <w:qFormat/>
    <w:uiPriority w:val="0"/>
    <w:rPr>
      <w:rFonts w:hint="eastAsia" w:ascii="宋体" w:hAnsi="宋体" w:eastAsia="宋体" w:cs="宋体"/>
      <w:b/>
      <w:bCs/>
      <w:color w:val="000000"/>
      <w:sz w:val="24"/>
      <w:szCs w:val="24"/>
      <w:u w:val="none"/>
    </w:rPr>
  </w:style>
  <w:style w:type="character" w:customStyle="1" w:styleId="79">
    <w:name w:val="font161"/>
    <w:basedOn w:val="20"/>
    <w:autoRedefine/>
    <w:qFormat/>
    <w:uiPriority w:val="0"/>
    <w:rPr>
      <w:rFonts w:hint="eastAsia" w:ascii="宋体" w:hAnsi="宋体" w:eastAsia="宋体" w:cs="宋体"/>
      <w:b/>
      <w:bCs/>
      <w:color w:val="000000"/>
      <w:sz w:val="22"/>
      <w:szCs w:val="22"/>
      <w:u w:val="none"/>
    </w:rPr>
  </w:style>
  <w:style w:type="paragraph" w:styleId="80">
    <w:name w:val="List Paragraph"/>
    <w:basedOn w:val="1"/>
    <w:autoRedefine/>
    <w:unhideWhenUsed/>
    <w:qFormat/>
    <w:uiPriority w:val="99"/>
    <w:pPr>
      <w:ind w:firstLine="420" w:firstLineChars="200"/>
    </w:pPr>
  </w:style>
  <w:style w:type="character" w:customStyle="1" w:styleId="81">
    <w:name w:val="正文文本缩进 字符"/>
    <w:basedOn w:val="20"/>
    <w:link w:val="8"/>
    <w:autoRedefine/>
    <w:qFormat/>
    <w:uiPriority w:val="0"/>
    <w:rPr>
      <w:kern w:val="2"/>
      <w:sz w:val="24"/>
      <w:szCs w:val="24"/>
    </w:rPr>
  </w:style>
  <w:style w:type="character" w:customStyle="1" w:styleId="82">
    <w:name w:val="正文文本首行缩进 2 字符"/>
    <w:basedOn w:val="81"/>
    <w:link w:val="17"/>
    <w:autoRedefine/>
    <w:qFormat/>
    <w:uiPriority w:val="0"/>
    <w:rPr>
      <w:kern w:val="2"/>
      <w:sz w:val="24"/>
      <w:szCs w:val="24"/>
    </w:rPr>
  </w:style>
  <w:style w:type="character" w:customStyle="1" w:styleId="83">
    <w:name w:val="正文文本 2 字符"/>
    <w:basedOn w:val="20"/>
    <w:link w:val="14"/>
    <w:autoRedefine/>
    <w:qFormat/>
    <w:uiPriority w:val="0"/>
    <w:rPr>
      <w:kern w:val="2"/>
      <w:sz w:val="21"/>
      <w:szCs w:val="24"/>
    </w:rPr>
  </w:style>
  <w:style w:type="paragraph" w:customStyle="1" w:styleId="84">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5">
    <w:name w:val="标题 2 字符"/>
    <w:basedOn w:val="20"/>
    <w:link w:val="3"/>
    <w:autoRedefine/>
    <w:qFormat/>
    <w:uiPriority w:val="0"/>
    <w:rPr>
      <w:rFonts w:ascii="Arial" w:hAnsi="Arial"/>
      <w:b/>
      <w:bCs/>
      <w:kern w:val="2"/>
      <w:sz w:val="24"/>
      <w:szCs w:val="32"/>
    </w:rPr>
  </w:style>
  <w:style w:type="character" w:customStyle="1" w:styleId="86">
    <w:name w:val="正文文本 字符"/>
    <w:basedOn w:val="20"/>
    <w:link w:val="7"/>
    <w:autoRedefine/>
    <w:qFormat/>
    <w:uiPriority w:val="0"/>
    <w:rPr>
      <w:kern w:val="2"/>
      <w:sz w:val="21"/>
      <w:szCs w:val="24"/>
    </w:rPr>
  </w:style>
  <w:style w:type="paragraph" w:customStyle="1" w:styleId="87">
    <w:name w:val="EndnoteText"/>
    <w:basedOn w:val="1"/>
    <w:autoRedefine/>
    <w:qFormat/>
    <w:uiPriority w:val="0"/>
  </w:style>
  <w:style w:type="paragraph" w:customStyle="1" w:styleId="88">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89">
    <w:name w:val="批注文字 字符"/>
    <w:basedOn w:val="20"/>
    <w:link w:val="6"/>
    <w:autoRedefine/>
    <w:semiHidden/>
    <w:qFormat/>
    <w:uiPriority w:val="0"/>
    <w:rPr>
      <w:kern w:val="2"/>
      <w:sz w:val="21"/>
      <w:szCs w:val="24"/>
    </w:rPr>
  </w:style>
  <w:style w:type="character" w:customStyle="1" w:styleId="90">
    <w:name w:val="批注主题 字符"/>
    <w:basedOn w:val="89"/>
    <w:link w:val="16"/>
    <w:autoRedefine/>
    <w:semiHidden/>
    <w:qFormat/>
    <w:uiPriority w:val="0"/>
    <w:rPr>
      <w:b/>
      <w:bCs/>
      <w:kern w:val="2"/>
      <w:sz w:val="21"/>
      <w:szCs w:val="24"/>
    </w:rPr>
  </w:style>
  <w:style w:type="character" w:customStyle="1" w:styleId="91">
    <w:name w:val="15"/>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1334</Words>
  <Characters>7608</Characters>
  <Lines>63</Lines>
  <Paragraphs>17</Paragraphs>
  <TotalTime>17</TotalTime>
  <ScaleCrop>false</ScaleCrop>
  <LinksUpToDate>false</LinksUpToDate>
  <CharactersWithSpaces>8925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2024-04-29T07:26:34Z</dcterms:modified>
  <dc:title>湖南科技大学2005-2006年教材招标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28336E58857C43DCB8D32E6D1960ADB9_13</vt:lpwstr>
  </property>
</Properties>
</file>