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3EE394">
      <w:pPr>
        <w:pStyle w:val="7"/>
        <w:spacing w:line="360" w:lineRule="auto"/>
        <w:ind w:firstLine="0" w:firstLineChars="0"/>
        <w:rPr>
          <w:b/>
          <w:bCs/>
          <w:lang w:val="en-US"/>
        </w:rPr>
      </w:pPr>
    </w:p>
    <w:p w14:paraId="7BAD2BAF">
      <w:pPr>
        <w:pStyle w:val="3"/>
        <w:rPr>
          <w:rFonts w:hint="default" w:ascii="仿宋_GB2312" w:hAnsi="仿宋_GB2312" w:eastAsia="仿宋_GB2312" w:cs="仿宋_GB2312"/>
          <w:color w:val="E60013"/>
          <w:lang w:val="en-US" w:eastAsia="zh-CN"/>
        </w:rPr>
      </w:pPr>
    </w:p>
    <w:p w14:paraId="6EBCB742">
      <w:pPr>
        <w:widowControl/>
        <w:shd w:val="clear" w:color="auto" w:fill="FFFFFF"/>
        <w:spacing w:after="150"/>
        <w:jc w:val="center"/>
        <w:outlineLvl w:val="0"/>
        <w:rPr>
          <w:rFonts w:hint="eastAsia" w:ascii="微软雅黑" w:hAnsi="微软雅黑" w:eastAsia="微软雅黑" w:cs="宋体"/>
          <w:b/>
          <w:bCs/>
          <w:snapToGrid/>
          <w:color w:val="1A1A1A"/>
          <w:spacing w:val="15"/>
          <w:kern w:val="36"/>
          <w:sz w:val="36"/>
          <w:szCs w:val="36"/>
        </w:rPr>
      </w:pPr>
      <w:r>
        <w:drawing>
          <wp:inline distT="0" distB="0" distL="0" distR="0">
            <wp:extent cx="5031740" cy="457200"/>
            <wp:effectExtent l="0" t="0" r="1651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r:embed="rId5"/>
                    <a:stretch>
                      <a:fillRect/>
                    </a:stretch>
                  </pic:blipFill>
                  <pic:spPr>
                    <a:xfrm>
                      <a:off x="0" y="0"/>
                      <a:ext cx="5032248" cy="457200"/>
                    </a:xfrm>
                    <a:prstGeom prst="rect">
                      <a:avLst/>
                    </a:prstGeom>
                  </pic:spPr>
                </pic:pic>
              </a:graphicData>
            </a:graphic>
          </wp:inline>
        </w:drawing>
      </w:r>
    </w:p>
    <w:p w14:paraId="15181D64">
      <w:pPr>
        <w:widowControl/>
        <w:shd w:val="clear" w:color="auto" w:fill="FFFFFF"/>
        <w:spacing w:after="150"/>
        <w:jc w:val="center"/>
        <w:outlineLvl w:val="0"/>
        <w:rPr>
          <w:rFonts w:hint="eastAsia" w:ascii="微软雅黑" w:hAnsi="微软雅黑" w:eastAsia="微软雅黑" w:cs="宋体"/>
          <w:b/>
          <w:bCs/>
          <w:snapToGrid/>
          <w:color w:val="1A1A1A"/>
          <w:spacing w:val="15"/>
          <w:kern w:val="36"/>
          <w:sz w:val="36"/>
          <w:szCs w:val="36"/>
        </w:rPr>
      </w:pPr>
      <w:r>
        <mc:AlternateContent>
          <mc:Choice Requires="wps">
            <w:drawing>
              <wp:anchor distT="0" distB="0" distL="114300" distR="114300" simplePos="0" relativeHeight="251659264" behindDoc="0" locked="0" layoutInCell="0" allowOverlap="1">
                <wp:simplePos x="0" y="0"/>
                <wp:positionH relativeFrom="page">
                  <wp:posOffset>762000</wp:posOffset>
                </wp:positionH>
                <wp:positionV relativeFrom="page">
                  <wp:posOffset>1864360</wp:posOffset>
                </wp:positionV>
                <wp:extent cx="6120765" cy="57150"/>
                <wp:effectExtent l="0" t="0" r="13335" b="0"/>
                <wp:wrapNone/>
                <wp:docPr id="3" name="矩形 3"/>
                <wp:cNvGraphicFramePr/>
                <a:graphic xmlns:a="http://schemas.openxmlformats.org/drawingml/2006/main">
                  <a:graphicData uri="http://schemas.microsoft.com/office/word/2010/wordprocessingShape">
                    <wps:wsp>
                      <wps:cNvSpPr/>
                      <wps:spPr>
                        <a:xfrm>
                          <a:off x="0" y="0"/>
                          <a:ext cx="6120765" cy="57150"/>
                        </a:xfrm>
                        <a:prstGeom prst="rect">
                          <a:avLst/>
                        </a:prstGeom>
                        <a:solidFill>
                          <a:srgbClr val="FF0000"/>
                        </a:solidFill>
                        <a:ln>
                          <a:noFill/>
                        </a:ln>
                      </wps:spPr>
                      <wps:bodyPr upright="1"/>
                    </wps:wsp>
                  </a:graphicData>
                </a:graphic>
              </wp:anchor>
            </w:drawing>
          </mc:Choice>
          <mc:Fallback>
            <w:pict>
              <v:rect id="_x0000_s1026" o:spid="_x0000_s1026" o:spt="1" style="position:absolute;left:0pt;margin-left:60pt;margin-top:146.8pt;height:4.5pt;width:481.95pt;mso-position-horizontal-relative:page;mso-position-vertical-relative:page;z-index:251659264;mso-width-relative:page;mso-height-relative:page;" fillcolor="#FF0000" filled="t" stroked="f" coordsize="21600,21600" o:allowincell="f" o:gfxdata="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CW5BrtcAAAAMAQAADwAAAAAAAAABACAAAAAiAAAAZHJzL2Rvd25yZXYueG1sUEsBAhQAFAAAAAgA&#10;h07iQLShE2S0AQAAXgMAAA4AAAAAAAAAAQAgAAAAJgEAAGRycy9lMm9Eb2MueG1sUEsFBgAAAAAG&#10;AAYAWQEAAEwFAAAAAA==&#10;">
                <v:fill on="t" focussize="0,0"/>
                <v:stroke on="f"/>
                <v:imagedata o:title=""/>
                <o:lock v:ext="edit" aspectratio="f"/>
              </v:rect>
            </w:pict>
          </mc:Fallback>
        </mc:AlternateContent>
      </w:r>
    </w:p>
    <w:p w14:paraId="05849351">
      <w:pPr>
        <w:widowControl/>
        <w:shd w:val="clear" w:color="auto" w:fill="FFFFFF"/>
        <w:spacing w:after="150"/>
        <w:jc w:val="center"/>
        <w:outlineLvl w:val="0"/>
        <w:rPr>
          <w:rFonts w:hint="eastAsia" w:ascii="微软雅黑" w:hAnsi="微软雅黑" w:eastAsia="微软雅黑" w:cs="宋体"/>
          <w:b/>
          <w:bCs/>
          <w:snapToGrid/>
          <w:color w:val="1A1A1A"/>
          <w:spacing w:val="15"/>
          <w:kern w:val="36"/>
          <w:sz w:val="36"/>
          <w:szCs w:val="36"/>
        </w:rPr>
      </w:pPr>
      <w:r>
        <w:rPr>
          <w:rFonts w:hint="eastAsia" w:ascii="微软雅黑" w:hAnsi="微软雅黑" w:eastAsia="微软雅黑" w:cs="宋体"/>
          <w:b/>
          <w:bCs/>
          <w:snapToGrid/>
          <w:color w:val="1A1A1A"/>
          <w:spacing w:val="15"/>
          <w:kern w:val="36"/>
          <w:sz w:val="36"/>
          <w:szCs w:val="36"/>
        </w:rPr>
        <w:t>湖南化工职业技术学院自行车管理办法（试行）</w:t>
      </w:r>
    </w:p>
    <w:p w14:paraId="106B676D">
      <w:pPr>
        <w:widowControl/>
        <w:shd w:val="clear" w:color="auto" w:fill="FFFFFF"/>
        <w:spacing w:line="360" w:lineRule="auto"/>
        <w:contextualSpacing/>
        <w:jc w:val="center"/>
        <w:rPr>
          <w:rFonts w:hint="eastAsia" w:ascii="微软雅黑" w:hAnsi="微软雅黑" w:eastAsia="微软雅黑" w:cs="宋体"/>
          <w:b/>
          <w:bCs/>
          <w:snapToGrid/>
          <w:color w:val="auto"/>
          <w:sz w:val="28"/>
          <w:szCs w:val="28"/>
        </w:rPr>
      </w:pPr>
      <w:r>
        <w:rPr>
          <w:rFonts w:hint="eastAsia" w:ascii="黑体" w:hAnsi="黑体" w:eastAsia="黑体" w:cs="宋体"/>
          <w:b/>
          <w:bCs/>
          <w:snapToGrid/>
          <w:color w:val="auto"/>
          <w:sz w:val="28"/>
          <w:szCs w:val="28"/>
        </w:rPr>
        <w:t>第一章 总 则</w:t>
      </w:r>
    </w:p>
    <w:p w14:paraId="544E7926">
      <w:pPr>
        <w:widowControl/>
        <w:shd w:val="clear" w:color="auto" w:fill="FFFFFF"/>
        <w:spacing w:line="360" w:lineRule="auto"/>
        <w:ind w:firstLine="645"/>
        <w:contextualSpacing/>
        <w:jc w:val="left"/>
        <w:rPr>
          <w:rFonts w:hint="eastAsia" w:ascii="微软雅黑" w:hAnsi="微软雅黑" w:eastAsia="微软雅黑" w:cs="宋体"/>
          <w:snapToGrid/>
          <w:color w:val="auto"/>
          <w:sz w:val="28"/>
          <w:szCs w:val="28"/>
        </w:rPr>
      </w:pPr>
      <w:r>
        <w:rPr>
          <w:rFonts w:hint="eastAsia" w:ascii="仿宋" w:hAnsi="仿宋" w:eastAsia="仿宋" w:cs="仿宋"/>
          <w:b/>
          <w:bCs/>
          <w:snapToGrid/>
          <w:color w:val="auto"/>
          <w:sz w:val="28"/>
          <w:szCs w:val="28"/>
        </w:rPr>
        <w:t>第一条</w:t>
      </w:r>
      <w:r>
        <w:rPr>
          <w:rFonts w:hint="eastAsia" w:ascii="仿宋" w:hAnsi="仿宋" w:eastAsia="仿宋" w:cs="仿宋"/>
          <w:b/>
          <w:bCs/>
          <w:snapToGrid/>
          <w:color w:val="auto"/>
          <w:sz w:val="28"/>
          <w:szCs w:val="28"/>
          <w:lang w:val="en-US" w:eastAsia="zh-CN"/>
        </w:rPr>
        <w:t xml:space="preserve"> </w:t>
      </w:r>
      <w:r>
        <w:rPr>
          <w:rFonts w:hint="eastAsia" w:ascii="仿宋" w:hAnsi="仿宋" w:eastAsia="仿宋" w:cs="仿宋"/>
          <w:snapToGrid/>
          <w:color w:val="auto"/>
          <w:sz w:val="28"/>
          <w:szCs w:val="28"/>
        </w:rPr>
        <w:t>为有效维护校园道路交通秩序，规范校园内自行车行驶和停放管理，预防和减少校园交通事故，进一步保障师生出行安全，营造良好育人环境，根据《中华人民共和国道路交通安全法》等法律规定，以及《湖南化工职业技术学院车辆行驶停放管理办法》，结合我校实际，特制订本办法。</w:t>
      </w:r>
    </w:p>
    <w:p w14:paraId="61B6C76B">
      <w:pPr>
        <w:widowControl/>
        <w:shd w:val="clear" w:color="auto" w:fill="FFFFFF"/>
        <w:spacing w:line="360" w:lineRule="auto"/>
        <w:ind w:firstLine="645"/>
        <w:contextualSpacing/>
        <w:jc w:val="left"/>
        <w:rPr>
          <w:rFonts w:hint="eastAsia" w:ascii="仿宋" w:hAnsi="仿宋" w:eastAsia="仿宋" w:cs="仿宋"/>
          <w:snapToGrid/>
          <w:color w:val="auto"/>
          <w:sz w:val="28"/>
          <w:szCs w:val="28"/>
        </w:rPr>
      </w:pPr>
      <w:r>
        <w:rPr>
          <w:rFonts w:hint="eastAsia" w:ascii="仿宋" w:hAnsi="仿宋" w:eastAsia="仿宋" w:cs="仿宋"/>
          <w:b/>
          <w:bCs/>
          <w:snapToGrid/>
          <w:color w:val="auto"/>
          <w:sz w:val="28"/>
          <w:szCs w:val="28"/>
        </w:rPr>
        <w:t>第二条</w:t>
      </w:r>
      <w:r>
        <w:rPr>
          <w:rFonts w:hint="eastAsia" w:ascii="仿宋" w:hAnsi="仿宋" w:eastAsia="仿宋" w:cs="仿宋"/>
          <w:b/>
          <w:bCs/>
          <w:snapToGrid/>
          <w:color w:val="auto"/>
          <w:sz w:val="28"/>
          <w:szCs w:val="28"/>
          <w:lang w:val="en-US" w:eastAsia="zh-CN"/>
        </w:rPr>
        <w:t xml:space="preserve"> </w:t>
      </w:r>
      <w:r>
        <w:rPr>
          <w:rFonts w:hint="eastAsia" w:ascii="仿宋" w:hAnsi="仿宋" w:eastAsia="仿宋" w:cs="仿宋"/>
          <w:snapToGrid/>
          <w:color w:val="auto"/>
          <w:sz w:val="28"/>
          <w:szCs w:val="28"/>
        </w:rPr>
        <w:t>本办法适用于所有在湖南化工职业技术学院校内行驶和停放的自行车（含共享单车）。</w:t>
      </w:r>
    </w:p>
    <w:p w14:paraId="3EB4A0FC">
      <w:pPr>
        <w:widowControl/>
        <w:shd w:val="clear" w:color="auto" w:fill="FFFFFF"/>
        <w:spacing w:line="360" w:lineRule="auto"/>
        <w:ind w:firstLine="645"/>
        <w:contextualSpacing/>
        <w:jc w:val="left"/>
        <w:rPr>
          <w:rFonts w:hint="eastAsia" w:ascii="微软雅黑" w:hAnsi="微软雅黑" w:eastAsia="微软雅黑" w:cs="宋体"/>
          <w:snapToGrid/>
          <w:color w:val="auto"/>
          <w:sz w:val="28"/>
          <w:szCs w:val="28"/>
        </w:rPr>
      </w:pPr>
      <w:r>
        <w:rPr>
          <w:rFonts w:hint="eastAsia" w:ascii="仿宋" w:hAnsi="仿宋" w:eastAsia="仿宋" w:cs="仿宋"/>
          <w:b/>
          <w:bCs/>
          <w:snapToGrid/>
          <w:color w:val="auto"/>
          <w:sz w:val="28"/>
          <w:szCs w:val="28"/>
        </w:rPr>
        <w:t>第三条</w:t>
      </w:r>
      <w:r>
        <w:rPr>
          <w:rFonts w:hint="eastAsia" w:ascii="仿宋" w:hAnsi="仿宋" w:eastAsia="仿宋" w:cs="仿宋"/>
          <w:b/>
          <w:bCs/>
          <w:snapToGrid/>
          <w:color w:val="auto"/>
          <w:sz w:val="28"/>
          <w:szCs w:val="28"/>
          <w:lang w:val="en-US" w:eastAsia="zh-CN"/>
        </w:rPr>
        <w:t xml:space="preserve"> </w:t>
      </w:r>
      <w:r>
        <w:rPr>
          <w:rFonts w:hint="eastAsia" w:ascii="仿宋" w:hAnsi="仿宋" w:eastAsia="仿宋" w:cs="仿宋"/>
          <w:snapToGrid/>
          <w:color w:val="auto"/>
          <w:sz w:val="28"/>
          <w:szCs w:val="28"/>
        </w:rPr>
        <w:t>本办法在执行过程中坚持“共建、共治、共享”的原则，实现“安全有序、文明和谐”的目标。</w:t>
      </w:r>
    </w:p>
    <w:p w14:paraId="02E90041">
      <w:pPr>
        <w:widowControl/>
        <w:shd w:val="clear" w:color="auto" w:fill="FFFFFF"/>
        <w:spacing w:line="360" w:lineRule="auto"/>
        <w:contextualSpacing/>
        <w:jc w:val="center"/>
        <w:rPr>
          <w:rFonts w:hint="eastAsia" w:ascii="黑体" w:hAnsi="黑体" w:eastAsia="黑体" w:cs="宋体"/>
          <w:b/>
          <w:bCs/>
          <w:snapToGrid/>
          <w:color w:val="auto"/>
          <w:sz w:val="28"/>
          <w:szCs w:val="28"/>
        </w:rPr>
      </w:pPr>
    </w:p>
    <w:p w14:paraId="11D90372">
      <w:pPr>
        <w:widowControl/>
        <w:shd w:val="clear" w:color="auto" w:fill="FFFFFF"/>
        <w:spacing w:line="360" w:lineRule="auto"/>
        <w:contextualSpacing/>
        <w:jc w:val="center"/>
        <w:rPr>
          <w:rFonts w:hint="eastAsia" w:ascii="微软雅黑" w:hAnsi="微软雅黑" w:eastAsia="微软雅黑" w:cs="宋体"/>
          <w:b/>
          <w:bCs/>
          <w:snapToGrid/>
          <w:color w:val="auto"/>
          <w:sz w:val="28"/>
          <w:szCs w:val="28"/>
        </w:rPr>
      </w:pPr>
      <w:r>
        <w:rPr>
          <w:rFonts w:hint="eastAsia" w:ascii="黑体" w:hAnsi="黑体" w:eastAsia="黑体" w:cs="宋体"/>
          <w:b/>
          <w:bCs/>
          <w:snapToGrid/>
          <w:color w:val="auto"/>
          <w:sz w:val="28"/>
          <w:szCs w:val="28"/>
        </w:rPr>
        <w:t>第二章 管理机构及职责</w:t>
      </w:r>
    </w:p>
    <w:p w14:paraId="31199416">
      <w:pPr>
        <w:widowControl/>
        <w:shd w:val="clear" w:color="auto" w:fill="FFFFFF"/>
        <w:spacing w:line="360" w:lineRule="auto"/>
        <w:ind w:firstLine="645"/>
        <w:contextualSpacing/>
        <w:jc w:val="left"/>
        <w:rPr>
          <w:rFonts w:hint="eastAsia" w:ascii="仿宋" w:hAnsi="仿宋" w:eastAsia="仿宋" w:cs="仿宋"/>
          <w:snapToGrid/>
          <w:color w:val="auto"/>
          <w:sz w:val="28"/>
          <w:szCs w:val="28"/>
        </w:rPr>
      </w:pPr>
      <w:r>
        <w:rPr>
          <w:rFonts w:hint="eastAsia" w:ascii="仿宋" w:hAnsi="仿宋" w:eastAsia="仿宋" w:cs="仿宋"/>
          <w:b/>
          <w:bCs/>
          <w:snapToGrid/>
          <w:color w:val="auto"/>
          <w:sz w:val="28"/>
          <w:szCs w:val="28"/>
        </w:rPr>
        <w:t>第四条</w:t>
      </w:r>
      <w:r>
        <w:rPr>
          <w:rFonts w:hint="eastAsia" w:ascii="仿宋" w:hAnsi="仿宋" w:eastAsia="仿宋" w:cs="仿宋"/>
          <w:b/>
          <w:bCs/>
          <w:snapToGrid/>
          <w:color w:val="auto"/>
          <w:sz w:val="28"/>
          <w:szCs w:val="28"/>
          <w:lang w:val="en-US" w:eastAsia="zh-CN"/>
        </w:rPr>
        <w:t xml:space="preserve"> </w:t>
      </w:r>
      <w:r>
        <w:rPr>
          <w:rFonts w:hint="eastAsia" w:ascii="仿宋" w:hAnsi="仿宋" w:eastAsia="仿宋" w:cs="仿宋"/>
          <w:snapToGrid/>
          <w:color w:val="auto"/>
          <w:sz w:val="28"/>
          <w:szCs w:val="28"/>
        </w:rPr>
        <w:t>保卫部统筹学校交通安全管理工作，细化和明确自行车行驶和停放的具体要求；负责校园自行车通行证办理；负责停车线的划设、标识标牌等交通设施的建设；负责自行车交通违规行为的处置。</w:t>
      </w:r>
    </w:p>
    <w:p w14:paraId="4BDF7249">
      <w:pPr>
        <w:widowControl/>
        <w:shd w:val="clear" w:color="auto" w:fill="FFFFFF"/>
        <w:spacing w:line="360" w:lineRule="auto"/>
        <w:ind w:firstLine="645"/>
        <w:contextualSpacing/>
        <w:jc w:val="left"/>
        <w:rPr>
          <w:rFonts w:hint="eastAsia" w:ascii="仿宋" w:hAnsi="仿宋" w:eastAsia="仿宋" w:cs="仿宋"/>
          <w:snapToGrid/>
          <w:color w:val="auto"/>
          <w:sz w:val="28"/>
          <w:szCs w:val="28"/>
        </w:rPr>
      </w:pPr>
      <w:r>
        <w:rPr>
          <w:rFonts w:hint="eastAsia" w:ascii="仿宋" w:hAnsi="仿宋" w:eastAsia="仿宋" w:cs="仿宋"/>
          <w:b/>
          <w:bCs/>
          <w:snapToGrid/>
          <w:color w:val="auto"/>
          <w:sz w:val="28"/>
          <w:szCs w:val="28"/>
        </w:rPr>
        <w:t>第五条</w:t>
      </w:r>
      <w:r>
        <w:rPr>
          <w:rFonts w:hint="eastAsia" w:ascii="仿宋" w:hAnsi="仿宋" w:eastAsia="仿宋" w:cs="仿宋"/>
          <w:b/>
          <w:bCs/>
          <w:snapToGrid/>
          <w:color w:val="auto"/>
          <w:sz w:val="28"/>
          <w:szCs w:val="28"/>
          <w:lang w:val="en-US" w:eastAsia="zh-CN"/>
        </w:rPr>
        <w:t xml:space="preserve"> </w:t>
      </w:r>
      <w:r>
        <w:rPr>
          <w:rFonts w:hint="eastAsia" w:ascii="仿宋" w:hAnsi="仿宋" w:eastAsia="仿宋" w:cs="仿宋"/>
          <w:snapToGrid/>
          <w:color w:val="auto"/>
          <w:sz w:val="28"/>
          <w:szCs w:val="28"/>
        </w:rPr>
        <w:t>学校倡导校内各单位（部门）、学生社团或组织在保卫部的指导下向师生员工普及道路交通安全法律、法规和校园道路交通安全管理规定，引导师生员工积极参与校园交通安全管理工作，协助处理校园交通违规行为，共建“平安</w:t>
      </w:r>
      <w:r>
        <w:rPr>
          <w:rFonts w:hint="eastAsia" w:ascii="仿宋" w:hAnsi="仿宋" w:eastAsia="仿宋" w:cs="仿宋"/>
          <w:snapToGrid/>
          <w:color w:val="auto"/>
          <w:sz w:val="28"/>
          <w:szCs w:val="28"/>
          <w:lang w:val="en-US" w:eastAsia="zh-CN"/>
        </w:rPr>
        <w:t>校园</w:t>
      </w:r>
      <w:r>
        <w:rPr>
          <w:rFonts w:hint="eastAsia" w:ascii="仿宋" w:hAnsi="仿宋" w:eastAsia="仿宋" w:cs="仿宋"/>
          <w:snapToGrid/>
          <w:color w:val="auto"/>
          <w:sz w:val="28"/>
          <w:szCs w:val="28"/>
        </w:rPr>
        <w:t>”。</w:t>
      </w:r>
    </w:p>
    <w:p w14:paraId="61353645">
      <w:pPr>
        <w:widowControl/>
        <w:shd w:val="clear" w:color="auto" w:fill="FFFFFF"/>
        <w:spacing w:line="360" w:lineRule="auto"/>
        <w:ind w:firstLine="645"/>
        <w:contextualSpacing/>
        <w:jc w:val="left"/>
        <w:rPr>
          <w:rFonts w:hint="eastAsia" w:ascii="仿宋" w:hAnsi="仿宋" w:eastAsia="仿宋" w:cs="仿宋"/>
          <w:snapToGrid/>
          <w:color w:val="auto"/>
          <w:sz w:val="28"/>
          <w:szCs w:val="28"/>
        </w:rPr>
      </w:pPr>
      <w:r>
        <w:rPr>
          <w:rFonts w:hint="eastAsia" w:ascii="仿宋" w:hAnsi="仿宋" w:eastAsia="仿宋" w:cs="仿宋"/>
          <w:b/>
          <w:bCs/>
          <w:snapToGrid/>
          <w:color w:val="auto"/>
          <w:sz w:val="28"/>
          <w:szCs w:val="28"/>
        </w:rPr>
        <w:t>第六条</w:t>
      </w:r>
      <w:r>
        <w:rPr>
          <w:rFonts w:hint="eastAsia" w:ascii="仿宋" w:hAnsi="仿宋" w:eastAsia="仿宋" w:cs="仿宋"/>
          <w:b/>
          <w:bCs/>
          <w:snapToGrid/>
          <w:color w:val="auto"/>
          <w:sz w:val="28"/>
          <w:szCs w:val="28"/>
          <w:lang w:val="en-US" w:eastAsia="zh-CN"/>
        </w:rPr>
        <w:t xml:space="preserve"> </w:t>
      </w:r>
      <w:r>
        <w:rPr>
          <w:rFonts w:hint="eastAsia" w:ascii="仿宋" w:hAnsi="仿宋" w:eastAsia="仿宋" w:cs="仿宋"/>
          <w:snapToGrid/>
          <w:color w:val="auto"/>
          <w:sz w:val="28"/>
          <w:szCs w:val="28"/>
        </w:rPr>
        <w:t>各单位（部门）应协助保卫部开展校园自行车管理工作，具体如下：</w:t>
      </w:r>
    </w:p>
    <w:p w14:paraId="66A2C1F2">
      <w:pPr>
        <w:widowControl/>
        <w:shd w:val="clear" w:color="auto" w:fill="FFFFFF"/>
        <w:spacing w:line="360" w:lineRule="auto"/>
        <w:ind w:firstLine="645"/>
        <w:contextualSpacing/>
        <w:jc w:val="left"/>
        <w:rPr>
          <w:rFonts w:hint="eastAsia" w:ascii="仿宋" w:hAnsi="仿宋" w:eastAsia="仿宋" w:cs="仿宋"/>
          <w:snapToGrid/>
          <w:color w:val="auto"/>
          <w:sz w:val="28"/>
          <w:szCs w:val="28"/>
        </w:rPr>
      </w:pPr>
      <w:r>
        <w:rPr>
          <w:rFonts w:hint="eastAsia" w:ascii="仿宋" w:hAnsi="仿宋" w:eastAsia="仿宋" w:cs="仿宋"/>
          <w:snapToGrid/>
          <w:color w:val="auto"/>
          <w:sz w:val="28"/>
          <w:szCs w:val="28"/>
        </w:rPr>
        <w:t>1.加强本单位（部门）人员交通安全和文明出行的宣传教育；</w:t>
      </w:r>
    </w:p>
    <w:p w14:paraId="0D6C51D3">
      <w:pPr>
        <w:widowControl/>
        <w:shd w:val="clear" w:color="auto" w:fill="FFFFFF"/>
        <w:spacing w:line="360" w:lineRule="auto"/>
        <w:ind w:firstLine="645"/>
        <w:contextualSpacing/>
        <w:jc w:val="left"/>
        <w:rPr>
          <w:rFonts w:hint="eastAsia" w:ascii="仿宋" w:hAnsi="仿宋" w:eastAsia="仿宋" w:cs="仿宋"/>
          <w:snapToGrid/>
          <w:color w:val="auto"/>
          <w:sz w:val="28"/>
          <w:szCs w:val="28"/>
        </w:rPr>
      </w:pPr>
      <w:r>
        <w:rPr>
          <w:rFonts w:hint="eastAsia" w:ascii="仿宋" w:hAnsi="仿宋" w:eastAsia="仿宋" w:cs="仿宋"/>
          <w:snapToGrid/>
          <w:color w:val="auto"/>
          <w:sz w:val="28"/>
          <w:szCs w:val="28"/>
        </w:rPr>
        <w:t>2.引导本单位（部门）人员积极参与校园自行车秩序治理和监督，发现问题及时报告；</w:t>
      </w:r>
    </w:p>
    <w:p w14:paraId="1DFF420A">
      <w:pPr>
        <w:widowControl/>
        <w:shd w:val="clear" w:color="auto" w:fill="FFFFFF"/>
        <w:spacing w:line="360" w:lineRule="auto"/>
        <w:ind w:firstLine="645"/>
        <w:contextualSpacing/>
        <w:jc w:val="left"/>
        <w:rPr>
          <w:rFonts w:hint="eastAsia" w:ascii="仿宋" w:hAnsi="仿宋" w:eastAsia="仿宋" w:cs="仿宋"/>
          <w:snapToGrid/>
          <w:color w:val="auto"/>
          <w:sz w:val="28"/>
          <w:szCs w:val="28"/>
        </w:rPr>
      </w:pPr>
      <w:r>
        <w:rPr>
          <w:rFonts w:hint="eastAsia" w:ascii="仿宋" w:hAnsi="仿宋" w:eastAsia="仿宋" w:cs="仿宋"/>
          <w:snapToGrid/>
          <w:color w:val="auto"/>
          <w:sz w:val="28"/>
          <w:szCs w:val="28"/>
        </w:rPr>
        <w:t>3.督促本单位（部门）人员及时认领违规、废弃自行车；</w:t>
      </w:r>
    </w:p>
    <w:p w14:paraId="38DE7D76">
      <w:pPr>
        <w:widowControl/>
        <w:shd w:val="clear" w:color="auto" w:fill="FFFFFF"/>
        <w:spacing w:line="360" w:lineRule="auto"/>
        <w:ind w:firstLine="645"/>
        <w:contextualSpacing/>
        <w:jc w:val="left"/>
        <w:rPr>
          <w:rFonts w:hint="eastAsia" w:ascii="仿宋" w:hAnsi="仿宋" w:eastAsia="仿宋" w:cs="仿宋"/>
          <w:snapToGrid/>
          <w:color w:val="auto"/>
          <w:sz w:val="28"/>
          <w:szCs w:val="28"/>
        </w:rPr>
      </w:pPr>
      <w:r>
        <w:rPr>
          <w:rFonts w:hint="eastAsia" w:ascii="仿宋" w:hAnsi="仿宋" w:eastAsia="仿宋" w:cs="仿宋"/>
          <w:snapToGrid/>
          <w:color w:val="auto"/>
          <w:sz w:val="28"/>
          <w:szCs w:val="28"/>
        </w:rPr>
        <w:t>4.协助保卫部做好校园交通违规违法行为的处置工作；</w:t>
      </w:r>
    </w:p>
    <w:p w14:paraId="17CA1C30">
      <w:pPr>
        <w:widowControl/>
        <w:shd w:val="clear" w:color="auto" w:fill="FFFFFF"/>
        <w:spacing w:line="360" w:lineRule="auto"/>
        <w:ind w:firstLine="645"/>
        <w:contextualSpacing/>
        <w:jc w:val="left"/>
        <w:rPr>
          <w:rFonts w:hint="eastAsia" w:ascii="仿宋" w:hAnsi="仿宋" w:eastAsia="仿宋" w:cs="仿宋"/>
          <w:snapToGrid/>
          <w:color w:val="auto"/>
          <w:sz w:val="28"/>
          <w:szCs w:val="28"/>
        </w:rPr>
      </w:pPr>
      <w:r>
        <w:rPr>
          <w:rFonts w:hint="eastAsia" w:ascii="仿宋" w:hAnsi="仿宋" w:eastAsia="仿宋" w:cs="仿宋"/>
          <w:snapToGrid/>
          <w:color w:val="auto"/>
          <w:sz w:val="28"/>
          <w:szCs w:val="28"/>
        </w:rPr>
        <w:t>5.其他有关自行车行驶和停放的管理工作。</w:t>
      </w:r>
    </w:p>
    <w:p w14:paraId="2F719F93">
      <w:pPr>
        <w:widowControl/>
        <w:shd w:val="clear" w:color="auto" w:fill="FFFFFF"/>
        <w:spacing w:line="360" w:lineRule="auto"/>
        <w:contextualSpacing/>
        <w:jc w:val="center"/>
        <w:rPr>
          <w:rFonts w:hint="eastAsia" w:ascii="黑体" w:hAnsi="黑体" w:eastAsia="黑体" w:cs="宋体"/>
          <w:b/>
          <w:bCs/>
          <w:snapToGrid/>
          <w:color w:val="auto"/>
          <w:sz w:val="28"/>
          <w:szCs w:val="28"/>
        </w:rPr>
      </w:pPr>
    </w:p>
    <w:p w14:paraId="18133B9F">
      <w:pPr>
        <w:widowControl/>
        <w:shd w:val="clear" w:color="auto" w:fill="FFFFFF"/>
        <w:spacing w:line="360" w:lineRule="auto"/>
        <w:contextualSpacing/>
        <w:jc w:val="center"/>
        <w:rPr>
          <w:rFonts w:hint="eastAsia" w:ascii="微软雅黑" w:hAnsi="微软雅黑" w:eastAsia="微软雅黑" w:cs="宋体"/>
          <w:b/>
          <w:bCs/>
          <w:snapToGrid/>
          <w:color w:val="auto"/>
          <w:sz w:val="28"/>
          <w:szCs w:val="28"/>
        </w:rPr>
      </w:pPr>
      <w:r>
        <w:rPr>
          <w:rFonts w:hint="eastAsia" w:ascii="黑体" w:hAnsi="黑体" w:eastAsia="黑体" w:cs="宋体"/>
          <w:b/>
          <w:bCs/>
          <w:snapToGrid/>
          <w:color w:val="auto"/>
          <w:sz w:val="28"/>
          <w:szCs w:val="28"/>
        </w:rPr>
        <w:t>第</w:t>
      </w:r>
      <w:r>
        <w:rPr>
          <w:rFonts w:hint="eastAsia" w:ascii="黑体" w:hAnsi="黑体" w:eastAsia="黑体" w:cs="宋体"/>
          <w:b/>
          <w:bCs/>
          <w:snapToGrid/>
          <w:color w:val="auto"/>
          <w:sz w:val="28"/>
          <w:szCs w:val="28"/>
          <w:lang w:val="en-US" w:eastAsia="zh-CN"/>
        </w:rPr>
        <w:t>三</w:t>
      </w:r>
      <w:r>
        <w:rPr>
          <w:rFonts w:hint="eastAsia" w:ascii="黑体" w:hAnsi="黑体" w:eastAsia="黑体" w:cs="宋体"/>
          <w:b/>
          <w:bCs/>
          <w:snapToGrid/>
          <w:color w:val="auto"/>
          <w:sz w:val="28"/>
          <w:szCs w:val="28"/>
        </w:rPr>
        <w:t>章 行驶和停放管理</w:t>
      </w:r>
    </w:p>
    <w:p w14:paraId="217FEC43">
      <w:pPr>
        <w:widowControl/>
        <w:shd w:val="clear" w:color="auto" w:fill="FFFFFF"/>
        <w:spacing w:line="360" w:lineRule="auto"/>
        <w:ind w:firstLine="645"/>
        <w:contextualSpacing/>
        <w:jc w:val="left"/>
        <w:rPr>
          <w:rFonts w:hint="eastAsia" w:ascii="仿宋" w:hAnsi="仿宋" w:eastAsia="仿宋" w:cs="仿宋"/>
          <w:snapToGrid/>
          <w:color w:val="auto"/>
          <w:sz w:val="28"/>
          <w:szCs w:val="28"/>
        </w:rPr>
      </w:pPr>
      <w:r>
        <w:rPr>
          <w:rFonts w:hint="eastAsia" w:ascii="仿宋" w:hAnsi="仿宋" w:eastAsia="仿宋" w:cs="仿宋"/>
          <w:b/>
          <w:bCs/>
          <w:snapToGrid/>
          <w:color w:val="auto"/>
          <w:sz w:val="28"/>
          <w:szCs w:val="28"/>
        </w:rPr>
        <w:t>第</w:t>
      </w:r>
      <w:r>
        <w:rPr>
          <w:rFonts w:hint="eastAsia" w:ascii="仿宋" w:hAnsi="仿宋" w:eastAsia="仿宋" w:cs="仿宋"/>
          <w:b/>
          <w:bCs/>
          <w:snapToGrid/>
          <w:color w:val="auto"/>
          <w:sz w:val="28"/>
          <w:szCs w:val="28"/>
          <w:lang w:val="en-US" w:eastAsia="zh-CN"/>
        </w:rPr>
        <w:t>七</w:t>
      </w:r>
      <w:r>
        <w:rPr>
          <w:rFonts w:hint="eastAsia" w:ascii="仿宋" w:hAnsi="仿宋" w:eastAsia="仿宋" w:cs="仿宋"/>
          <w:b/>
          <w:bCs/>
          <w:snapToGrid/>
          <w:color w:val="auto"/>
          <w:sz w:val="28"/>
          <w:szCs w:val="28"/>
        </w:rPr>
        <w:t>条</w:t>
      </w:r>
      <w:r>
        <w:rPr>
          <w:rFonts w:hint="eastAsia" w:ascii="仿宋" w:hAnsi="仿宋" w:eastAsia="仿宋" w:cs="仿宋"/>
          <w:b/>
          <w:bCs/>
          <w:snapToGrid/>
          <w:color w:val="auto"/>
          <w:sz w:val="28"/>
          <w:szCs w:val="28"/>
          <w:lang w:val="en-US" w:eastAsia="zh-CN"/>
        </w:rPr>
        <w:t xml:space="preserve"> </w:t>
      </w:r>
      <w:r>
        <w:rPr>
          <w:rFonts w:hint="eastAsia" w:ascii="仿宋" w:hAnsi="仿宋" w:eastAsia="仿宋" w:cs="仿宋"/>
          <w:snapToGrid/>
          <w:color w:val="auto"/>
          <w:sz w:val="28"/>
          <w:szCs w:val="28"/>
        </w:rPr>
        <w:t>全校师生员工应遵守道路交通法律法规和学校道路交通安全管理规定，服从学校相关工作人员的管理，安全、有序、文明、规范的行驶和停放自行车。</w:t>
      </w:r>
    </w:p>
    <w:p w14:paraId="61603D58">
      <w:pPr>
        <w:widowControl/>
        <w:shd w:val="clear" w:color="auto" w:fill="FFFFFF"/>
        <w:spacing w:line="360" w:lineRule="auto"/>
        <w:ind w:firstLine="645"/>
        <w:contextualSpacing/>
        <w:jc w:val="left"/>
        <w:rPr>
          <w:rFonts w:hint="eastAsia" w:ascii="仿宋" w:hAnsi="仿宋" w:eastAsia="仿宋" w:cs="仿宋"/>
          <w:snapToGrid/>
          <w:color w:val="auto"/>
          <w:sz w:val="28"/>
          <w:szCs w:val="28"/>
        </w:rPr>
      </w:pPr>
      <w:r>
        <w:rPr>
          <w:rFonts w:hint="eastAsia" w:ascii="仿宋" w:hAnsi="仿宋" w:eastAsia="仿宋" w:cs="仿宋"/>
          <w:b/>
          <w:bCs/>
          <w:snapToGrid/>
          <w:color w:val="auto"/>
          <w:sz w:val="28"/>
          <w:szCs w:val="28"/>
        </w:rPr>
        <w:t>第</w:t>
      </w:r>
      <w:r>
        <w:rPr>
          <w:rFonts w:hint="eastAsia" w:ascii="仿宋" w:hAnsi="仿宋" w:eastAsia="仿宋" w:cs="仿宋"/>
          <w:b/>
          <w:bCs/>
          <w:snapToGrid/>
          <w:color w:val="auto"/>
          <w:sz w:val="28"/>
          <w:szCs w:val="28"/>
          <w:lang w:val="en-US" w:eastAsia="zh-CN"/>
        </w:rPr>
        <w:t>八</w:t>
      </w:r>
      <w:r>
        <w:rPr>
          <w:rFonts w:hint="eastAsia" w:ascii="仿宋" w:hAnsi="仿宋" w:eastAsia="仿宋" w:cs="仿宋"/>
          <w:b/>
          <w:bCs/>
          <w:snapToGrid/>
          <w:color w:val="auto"/>
          <w:sz w:val="28"/>
          <w:szCs w:val="28"/>
        </w:rPr>
        <w:t>条</w:t>
      </w:r>
      <w:r>
        <w:rPr>
          <w:rFonts w:hint="eastAsia" w:ascii="仿宋" w:hAnsi="仿宋" w:eastAsia="仿宋" w:cs="仿宋"/>
          <w:b/>
          <w:bCs/>
          <w:snapToGrid/>
          <w:color w:val="auto"/>
          <w:sz w:val="28"/>
          <w:szCs w:val="28"/>
          <w:lang w:val="en-US" w:eastAsia="zh-CN"/>
        </w:rPr>
        <w:t xml:space="preserve"> </w:t>
      </w:r>
      <w:r>
        <w:rPr>
          <w:rFonts w:hint="eastAsia" w:ascii="仿宋" w:hAnsi="仿宋" w:eastAsia="仿宋" w:cs="仿宋"/>
          <w:snapToGrid/>
          <w:color w:val="auto"/>
          <w:sz w:val="28"/>
          <w:szCs w:val="28"/>
        </w:rPr>
        <w:t>所有进出校园的自行车需自觉在校门口</w:t>
      </w:r>
      <w:bookmarkStart w:id="1" w:name="_GoBack"/>
      <w:bookmarkEnd w:id="1"/>
      <w:r>
        <w:rPr>
          <w:rFonts w:hint="eastAsia" w:ascii="仿宋" w:hAnsi="仿宋" w:eastAsia="仿宋" w:cs="仿宋"/>
          <w:snapToGrid/>
          <w:color w:val="auto"/>
          <w:sz w:val="28"/>
          <w:szCs w:val="28"/>
        </w:rPr>
        <w:t>前下车推行，服从门卫管理。</w:t>
      </w:r>
    </w:p>
    <w:p w14:paraId="6A15E697">
      <w:pPr>
        <w:widowControl/>
        <w:shd w:val="clear" w:color="auto" w:fill="FFFFFF"/>
        <w:spacing w:line="360" w:lineRule="auto"/>
        <w:ind w:firstLine="645"/>
        <w:contextualSpacing/>
        <w:jc w:val="left"/>
        <w:rPr>
          <w:rFonts w:hint="eastAsia" w:ascii="仿宋" w:hAnsi="仿宋" w:eastAsia="仿宋" w:cs="仿宋"/>
          <w:snapToGrid/>
          <w:color w:val="auto"/>
          <w:sz w:val="28"/>
          <w:szCs w:val="28"/>
        </w:rPr>
      </w:pPr>
      <w:r>
        <w:rPr>
          <w:rFonts w:hint="eastAsia" w:ascii="仿宋" w:hAnsi="仿宋" w:eastAsia="仿宋" w:cs="仿宋"/>
          <w:b/>
          <w:bCs/>
          <w:snapToGrid/>
          <w:color w:val="auto"/>
          <w:sz w:val="28"/>
          <w:szCs w:val="28"/>
        </w:rPr>
        <w:t>第</w:t>
      </w:r>
      <w:r>
        <w:rPr>
          <w:rFonts w:hint="eastAsia" w:ascii="仿宋" w:hAnsi="仿宋" w:eastAsia="仿宋" w:cs="仿宋"/>
          <w:b/>
          <w:bCs/>
          <w:snapToGrid/>
          <w:color w:val="auto"/>
          <w:sz w:val="28"/>
          <w:szCs w:val="28"/>
          <w:lang w:val="en-US" w:eastAsia="zh-CN"/>
        </w:rPr>
        <w:t>九</w:t>
      </w:r>
      <w:r>
        <w:rPr>
          <w:rFonts w:hint="eastAsia" w:ascii="仿宋" w:hAnsi="仿宋" w:eastAsia="仿宋" w:cs="仿宋"/>
          <w:b/>
          <w:bCs/>
          <w:snapToGrid/>
          <w:color w:val="auto"/>
          <w:sz w:val="28"/>
          <w:szCs w:val="28"/>
        </w:rPr>
        <w:t>条</w:t>
      </w:r>
      <w:r>
        <w:rPr>
          <w:rFonts w:hint="eastAsia" w:ascii="仿宋" w:hAnsi="仿宋" w:eastAsia="仿宋" w:cs="仿宋"/>
          <w:b/>
          <w:bCs/>
          <w:snapToGrid/>
          <w:color w:val="auto"/>
          <w:sz w:val="28"/>
          <w:szCs w:val="28"/>
          <w:lang w:val="en-US" w:eastAsia="zh-CN"/>
        </w:rPr>
        <w:t xml:space="preserve"> </w:t>
      </w:r>
      <w:r>
        <w:rPr>
          <w:rFonts w:hint="eastAsia" w:ascii="仿宋" w:hAnsi="仿宋" w:eastAsia="仿宋" w:cs="仿宋"/>
          <w:snapToGrid/>
          <w:color w:val="auto"/>
          <w:sz w:val="28"/>
          <w:szCs w:val="28"/>
        </w:rPr>
        <w:t>在校园内</w:t>
      </w:r>
      <w:r>
        <w:rPr>
          <w:rFonts w:hint="eastAsia" w:ascii="仿宋" w:hAnsi="仿宋" w:eastAsia="仿宋" w:cs="仿宋"/>
          <w:snapToGrid/>
          <w:color w:val="auto"/>
          <w:sz w:val="28"/>
          <w:szCs w:val="28"/>
          <w:lang w:val="en-US" w:eastAsia="zh-CN"/>
        </w:rPr>
        <w:t>骑行</w:t>
      </w:r>
      <w:r>
        <w:rPr>
          <w:rFonts w:hint="eastAsia" w:ascii="仿宋" w:hAnsi="仿宋" w:eastAsia="仿宋" w:cs="仿宋"/>
          <w:snapToGrid/>
          <w:color w:val="auto"/>
          <w:sz w:val="28"/>
          <w:szCs w:val="28"/>
        </w:rPr>
        <w:t>时，应严格遵守交通规则，通过人行道、路口、弯道、减速带时，应谨慎行驶、减速慢行，主动避让行人。自行车应当在非机动车道内行驶，在没有非机动车道的道路上，应当靠车行道的右侧行驶。</w:t>
      </w:r>
    </w:p>
    <w:p w14:paraId="7EED2EE1">
      <w:pPr>
        <w:widowControl/>
        <w:shd w:val="clear" w:color="auto" w:fill="FFFFFF"/>
        <w:spacing w:line="360" w:lineRule="auto"/>
        <w:ind w:firstLine="645"/>
        <w:contextualSpacing/>
        <w:jc w:val="left"/>
        <w:rPr>
          <w:rFonts w:hint="eastAsia" w:ascii="仿宋" w:hAnsi="仿宋" w:eastAsia="仿宋" w:cs="仿宋"/>
          <w:snapToGrid/>
          <w:color w:val="auto"/>
          <w:sz w:val="28"/>
          <w:szCs w:val="28"/>
        </w:rPr>
      </w:pPr>
      <w:r>
        <w:rPr>
          <w:rFonts w:hint="eastAsia" w:ascii="仿宋" w:hAnsi="仿宋" w:eastAsia="仿宋" w:cs="仿宋"/>
          <w:snapToGrid/>
          <w:color w:val="auto"/>
          <w:sz w:val="28"/>
          <w:szCs w:val="28"/>
        </w:rPr>
        <w:t>行驶速度不得超过</w:t>
      </w:r>
      <w:r>
        <w:rPr>
          <w:rFonts w:hint="eastAsia" w:ascii="仿宋" w:hAnsi="仿宋" w:eastAsia="仿宋" w:cs="仿宋"/>
          <w:snapToGrid/>
          <w:color w:val="auto"/>
          <w:sz w:val="28"/>
          <w:szCs w:val="28"/>
          <w:lang w:val="en-US" w:eastAsia="zh-CN"/>
        </w:rPr>
        <w:t>20</w:t>
      </w:r>
      <w:r>
        <w:rPr>
          <w:rFonts w:hint="eastAsia" w:ascii="仿宋" w:hAnsi="仿宋" w:eastAsia="仿宋" w:cs="仿宋"/>
          <w:snapToGrid/>
          <w:color w:val="auto"/>
          <w:sz w:val="28"/>
          <w:szCs w:val="28"/>
        </w:rPr>
        <w:t>公里/小时。</w:t>
      </w:r>
    </w:p>
    <w:p w14:paraId="5EFE9ECB">
      <w:pPr>
        <w:widowControl/>
        <w:shd w:val="clear" w:color="auto" w:fill="FFFFFF"/>
        <w:spacing w:line="360" w:lineRule="auto"/>
        <w:ind w:firstLine="645"/>
        <w:contextualSpacing/>
        <w:jc w:val="left"/>
        <w:rPr>
          <w:rFonts w:hint="default" w:ascii="仿宋" w:hAnsi="仿宋" w:eastAsia="仿宋" w:cs="仿宋"/>
          <w:snapToGrid/>
          <w:color w:val="auto"/>
          <w:sz w:val="28"/>
          <w:szCs w:val="28"/>
          <w:lang w:val="en-US" w:eastAsia="zh-CN"/>
        </w:rPr>
      </w:pPr>
      <w:r>
        <w:rPr>
          <w:rFonts w:hint="eastAsia" w:ascii="仿宋" w:hAnsi="仿宋" w:eastAsia="仿宋" w:cs="仿宋"/>
          <w:snapToGrid/>
          <w:color w:val="auto"/>
          <w:sz w:val="28"/>
          <w:szCs w:val="28"/>
          <w:lang w:val="en-US" w:eastAsia="zh-CN"/>
        </w:rPr>
        <w:t>夜间骑行应加装自行车夜行灯具的装备，保障安全。</w:t>
      </w:r>
    </w:p>
    <w:p w14:paraId="7652E2EB">
      <w:pPr>
        <w:widowControl/>
        <w:shd w:val="clear" w:color="auto" w:fill="FFFFFF"/>
        <w:spacing w:line="360" w:lineRule="auto"/>
        <w:ind w:firstLine="645"/>
        <w:contextualSpacing/>
        <w:jc w:val="left"/>
        <w:rPr>
          <w:rFonts w:hint="eastAsia" w:ascii="仿宋" w:hAnsi="仿宋" w:eastAsia="仿宋" w:cs="仿宋"/>
          <w:snapToGrid/>
          <w:color w:val="auto"/>
          <w:sz w:val="28"/>
          <w:szCs w:val="28"/>
        </w:rPr>
      </w:pPr>
      <w:r>
        <w:rPr>
          <w:rFonts w:hint="eastAsia" w:ascii="仿宋" w:hAnsi="仿宋" w:eastAsia="仿宋" w:cs="仿宋"/>
          <w:b/>
          <w:bCs/>
          <w:snapToGrid/>
          <w:color w:val="auto"/>
          <w:sz w:val="28"/>
          <w:szCs w:val="28"/>
        </w:rPr>
        <w:t>第十条</w:t>
      </w:r>
      <w:r>
        <w:rPr>
          <w:rFonts w:hint="eastAsia" w:ascii="仿宋" w:hAnsi="仿宋" w:eastAsia="仿宋" w:cs="仿宋"/>
          <w:b/>
          <w:bCs/>
          <w:snapToGrid/>
          <w:color w:val="auto"/>
          <w:sz w:val="28"/>
          <w:szCs w:val="28"/>
          <w:lang w:val="en-US" w:eastAsia="zh-CN"/>
        </w:rPr>
        <w:t xml:space="preserve"> </w:t>
      </w:r>
      <w:r>
        <w:rPr>
          <w:rFonts w:hint="eastAsia" w:ascii="仿宋" w:hAnsi="仿宋" w:eastAsia="仿宋" w:cs="仿宋"/>
          <w:snapToGrid/>
          <w:color w:val="auto"/>
          <w:sz w:val="28"/>
          <w:szCs w:val="28"/>
        </w:rPr>
        <w:t>校内严禁酒后骑车、扶身并骑、互相追逐或曲折竞驶等危险骑行行为。</w:t>
      </w:r>
    </w:p>
    <w:p w14:paraId="41F45FA9">
      <w:pPr>
        <w:widowControl/>
        <w:shd w:val="clear" w:color="auto" w:fill="FFFFFF"/>
        <w:spacing w:line="360" w:lineRule="auto"/>
        <w:ind w:firstLine="645"/>
        <w:contextualSpacing/>
        <w:jc w:val="left"/>
        <w:rPr>
          <w:rFonts w:hint="eastAsia" w:ascii="仿宋" w:hAnsi="仿宋" w:eastAsia="仿宋" w:cs="仿宋"/>
          <w:snapToGrid/>
          <w:color w:val="auto"/>
          <w:sz w:val="28"/>
          <w:szCs w:val="28"/>
        </w:rPr>
      </w:pPr>
      <w:r>
        <w:rPr>
          <w:rFonts w:hint="eastAsia" w:ascii="仿宋" w:hAnsi="仿宋" w:eastAsia="仿宋" w:cs="仿宋"/>
          <w:b/>
          <w:bCs/>
          <w:snapToGrid/>
          <w:color w:val="auto"/>
          <w:sz w:val="28"/>
          <w:szCs w:val="28"/>
        </w:rPr>
        <w:t>第十</w:t>
      </w:r>
      <w:r>
        <w:rPr>
          <w:rFonts w:hint="eastAsia" w:ascii="仿宋" w:hAnsi="仿宋" w:eastAsia="仿宋" w:cs="仿宋"/>
          <w:b/>
          <w:bCs/>
          <w:snapToGrid/>
          <w:color w:val="auto"/>
          <w:sz w:val="28"/>
          <w:szCs w:val="28"/>
          <w:lang w:val="en-US" w:eastAsia="zh-CN"/>
        </w:rPr>
        <w:t>一</w:t>
      </w:r>
      <w:r>
        <w:rPr>
          <w:rFonts w:hint="eastAsia" w:ascii="仿宋" w:hAnsi="仿宋" w:eastAsia="仿宋" w:cs="仿宋"/>
          <w:b/>
          <w:bCs/>
          <w:snapToGrid/>
          <w:color w:val="auto"/>
          <w:sz w:val="28"/>
          <w:szCs w:val="28"/>
        </w:rPr>
        <w:t>条</w:t>
      </w:r>
      <w:r>
        <w:rPr>
          <w:rFonts w:hint="eastAsia" w:ascii="仿宋" w:hAnsi="仿宋" w:eastAsia="仿宋" w:cs="仿宋"/>
          <w:b/>
          <w:bCs/>
          <w:snapToGrid/>
          <w:color w:val="auto"/>
          <w:sz w:val="28"/>
          <w:szCs w:val="28"/>
          <w:lang w:val="en-US" w:eastAsia="zh-CN"/>
        </w:rPr>
        <w:t xml:space="preserve"> </w:t>
      </w:r>
      <w:r>
        <w:rPr>
          <w:rFonts w:hint="eastAsia" w:ascii="仿宋" w:hAnsi="仿宋" w:eastAsia="仿宋" w:cs="仿宋"/>
          <w:snapToGrid/>
          <w:color w:val="auto"/>
          <w:sz w:val="28"/>
          <w:szCs w:val="28"/>
        </w:rPr>
        <w:t>进入校内的自行车一律按划定的停车区域有序停放。禁止在室内场所、交通主干道、人行道、绿化地、操场、机动车车位、消防通道、非规定停放时间、建筑物出入口及其他规定的“禁停区”停放自行车。停取自行车应有序，不得无故推动、破坏他人车辆，不得堵塞通道。</w:t>
      </w:r>
    </w:p>
    <w:p w14:paraId="232002CB">
      <w:pPr>
        <w:widowControl/>
        <w:shd w:val="clear" w:color="auto" w:fill="FFFFFF"/>
        <w:spacing w:line="360" w:lineRule="auto"/>
        <w:ind w:firstLine="645"/>
        <w:contextualSpacing/>
        <w:jc w:val="left"/>
        <w:rPr>
          <w:rFonts w:hint="eastAsia" w:ascii="仿宋" w:hAnsi="仿宋" w:eastAsia="仿宋" w:cs="仿宋"/>
          <w:snapToGrid/>
          <w:color w:val="auto"/>
          <w:sz w:val="28"/>
          <w:szCs w:val="28"/>
        </w:rPr>
      </w:pPr>
      <w:r>
        <w:rPr>
          <w:rFonts w:hint="eastAsia" w:ascii="仿宋" w:hAnsi="仿宋" w:eastAsia="仿宋" w:cs="仿宋"/>
          <w:b/>
          <w:bCs/>
          <w:snapToGrid/>
          <w:color w:val="auto"/>
          <w:sz w:val="28"/>
          <w:szCs w:val="28"/>
        </w:rPr>
        <w:t>第十</w:t>
      </w:r>
      <w:r>
        <w:rPr>
          <w:rFonts w:hint="eastAsia" w:ascii="仿宋" w:hAnsi="仿宋" w:eastAsia="仿宋" w:cs="仿宋"/>
          <w:b/>
          <w:bCs/>
          <w:snapToGrid/>
          <w:color w:val="auto"/>
          <w:sz w:val="28"/>
          <w:szCs w:val="28"/>
          <w:lang w:val="en-US" w:eastAsia="zh-CN"/>
        </w:rPr>
        <w:t>二</w:t>
      </w:r>
      <w:r>
        <w:rPr>
          <w:rFonts w:hint="eastAsia" w:ascii="仿宋" w:hAnsi="仿宋" w:eastAsia="仿宋" w:cs="仿宋"/>
          <w:b/>
          <w:bCs/>
          <w:snapToGrid/>
          <w:color w:val="auto"/>
          <w:sz w:val="28"/>
          <w:szCs w:val="28"/>
        </w:rPr>
        <w:t>条</w:t>
      </w:r>
      <w:r>
        <w:rPr>
          <w:rFonts w:hint="eastAsia" w:ascii="仿宋" w:hAnsi="仿宋" w:eastAsia="仿宋" w:cs="仿宋"/>
          <w:b/>
          <w:bCs/>
          <w:snapToGrid/>
          <w:color w:val="auto"/>
          <w:sz w:val="28"/>
          <w:szCs w:val="28"/>
          <w:lang w:val="en-US" w:eastAsia="zh-CN"/>
        </w:rPr>
        <w:t xml:space="preserve"> </w:t>
      </w:r>
      <w:r>
        <w:rPr>
          <w:rFonts w:hint="eastAsia" w:ascii="仿宋" w:hAnsi="仿宋" w:eastAsia="仿宋" w:cs="仿宋"/>
          <w:snapToGrid/>
          <w:color w:val="auto"/>
          <w:sz w:val="28"/>
          <w:szCs w:val="28"/>
        </w:rPr>
        <w:t>车主对其所属自行车及随车物品承担保管责任，应配备车锁，停车时锁好车辆，带走随车物品。</w:t>
      </w:r>
    </w:p>
    <w:p w14:paraId="3E6E275F">
      <w:pPr>
        <w:widowControl/>
        <w:shd w:val="clear" w:color="auto" w:fill="FFFFFF"/>
        <w:spacing w:line="360" w:lineRule="auto"/>
        <w:ind w:firstLine="645"/>
        <w:contextualSpacing/>
        <w:jc w:val="left"/>
        <w:rPr>
          <w:rFonts w:hint="eastAsia" w:ascii="仿宋" w:hAnsi="仿宋" w:eastAsia="仿宋" w:cs="仿宋"/>
          <w:snapToGrid/>
          <w:color w:val="auto"/>
          <w:sz w:val="28"/>
          <w:szCs w:val="28"/>
        </w:rPr>
      </w:pPr>
      <w:r>
        <w:rPr>
          <w:rFonts w:hint="eastAsia" w:ascii="仿宋" w:hAnsi="仿宋" w:eastAsia="仿宋" w:cs="仿宋"/>
          <w:b/>
          <w:bCs/>
          <w:snapToGrid/>
          <w:color w:val="auto"/>
          <w:sz w:val="28"/>
          <w:szCs w:val="28"/>
        </w:rPr>
        <w:t>第十</w:t>
      </w:r>
      <w:r>
        <w:rPr>
          <w:rFonts w:hint="eastAsia" w:ascii="仿宋" w:hAnsi="仿宋" w:eastAsia="仿宋" w:cs="仿宋"/>
          <w:b/>
          <w:bCs/>
          <w:snapToGrid/>
          <w:color w:val="auto"/>
          <w:sz w:val="28"/>
          <w:szCs w:val="28"/>
          <w:lang w:val="en-US" w:eastAsia="zh-CN"/>
        </w:rPr>
        <w:t>三</w:t>
      </w:r>
      <w:r>
        <w:rPr>
          <w:rFonts w:hint="eastAsia" w:ascii="仿宋" w:hAnsi="仿宋" w:eastAsia="仿宋" w:cs="仿宋"/>
          <w:b/>
          <w:bCs/>
          <w:snapToGrid/>
          <w:color w:val="auto"/>
          <w:sz w:val="28"/>
          <w:szCs w:val="28"/>
        </w:rPr>
        <w:t>条</w:t>
      </w:r>
      <w:r>
        <w:rPr>
          <w:rFonts w:hint="eastAsia" w:ascii="仿宋" w:hAnsi="仿宋" w:eastAsia="仿宋" w:cs="仿宋"/>
          <w:b/>
          <w:bCs/>
          <w:snapToGrid/>
          <w:color w:val="auto"/>
          <w:sz w:val="28"/>
          <w:szCs w:val="28"/>
          <w:lang w:val="en-US" w:eastAsia="zh-CN"/>
        </w:rPr>
        <w:t xml:space="preserve"> </w:t>
      </w:r>
      <w:r>
        <w:rPr>
          <w:rFonts w:hint="eastAsia" w:ascii="仿宋" w:hAnsi="仿宋" w:eastAsia="仿宋" w:cs="仿宋"/>
          <w:snapToGrid/>
          <w:color w:val="auto"/>
          <w:sz w:val="28"/>
          <w:szCs w:val="28"/>
        </w:rPr>
        <w:t>学校根据上下课高峰等实际情况设置潮汐车位供非机动车临时停放，车主应按照潮汐车位规定有序停放，按时撤离。</w:t>
      </w:r>
    </w:p>
    <w:p w14:paraId="4571E74D">
      <w:pPr>
        <w:widowControl/>
        <w:shd w:val="clear" w:color="auto" w:fill="FFFFFF"/>
        <w:spacing w:line="360" w:lineRule="auto"/>
        <w:contextualSpacing/>
        <w:jc w:val="center"/>
        <w:rPr>
          <w:rFonts w:hint="eastAsia" w:ascii="微软雅黑" w:hAnsi="微软雅黑" w:eastAsia="微软雅黑" w:cs="宋体"/>
          <w:b/>
          <w:bCs/>
          <w:snapToGrid/>
          <w:color w:val="auto"/>
          <w:sz w:val="28"/>
          <w:szCs w:val="28"/>
        </w:rPr>
      </w:pPr>
      <w:r>
        <w:rPr>
          <w:rFonts w:hint="eastAsia" w:ascii="黑体" w:hAnsi="黑体" w:eastAsia="黑体" w:cs="宋体"/>
          <w:b/>
          <w:bCs/>
          <w:snapToGrid/>
          <w:color w:val="auto"/>
          <w:sz w:val="28"/>
          <w:szCs w:val="28"/>
        </w:rPr>
        <w:t>第五章 违规行为与处理办法</w:t>
      </w:r>
    </w:p>
    <w:p w14:paraId="79414A8A">
      <w:pPr>
        <w:widowControl/>
        <w:shd w:val="clear" w:color="auto" w:fill="FFFFFF"/>
        <w:spacing w:line="360" w:lineRule="auto"/>
        <w:ind w:firstLine="645"/>
        <w:contextualSpacing/>
        <w:jc w:val="left"/>
        <w:rPr>
          <w:rFonts w:hint="eastAsia" w:ascii="仿宋" w:hAnsi="仿宋" w:eastAsia="仿宋" w:cs="仿宋"/>
          <w:snapToGrid/>
          <w:color w:val="auto"/>
          <w:sz w:val="28"/>
          <w:szCs w:val="28"/>
        </w:rPr>
      </w:pPr>
      <w:r>
        <w:rPr>
          <w:rFonts w:hint="eastAsia" w:ascii="仿宋" w:hAnsi="仿宋" w:eastAsia="仿宋" w:cs="仿宋"/>
          <w:b/>
          <w:bCs/>
          <w:snapToGrid/>
          <w:color w:val="auto"/>
          <w:sz w:val="28"/>
          <w:szCs w:val="28"/>
        </w:rPr>
        <w:t>第十</w:t>
      </w:r>
      <w:r>
        <w:rPr>
          <w:rFonts w:hint="eastAsia" w:ascii="仿宋" w:hAnsi="仿宋" w:eastAsia="仿宋" w:cs="仿宋"/>
          <w:b/>
          <w:bCs/>
          <w:snapToGrid/>
          <w:color w:val="auto"/>
          <w:sz w:val="28"/>
          <w:szCs w:val="28"/>
          <w:lang w:val="en-US" w:eastAsia="zh-CN"/>
        </w:rPr>
        <w:t>四</w:t>
      </w:r>
      <w:r>
        <w:rPr>
          <w:rFonts w:hint="eastAsia" w:ascii="仿宋" w:hAnsi="仿宋" w:eastAsia="仿宋" w:cs="仿宋"/>
          <w:b/>
          <w:bCs/>
          <w:snapToGrid/>
          <w:color w:val="auto"/>
          <w:sz w:val="28"/>
          <w:szCs w:val="28"/>
        </w:rPr>
        <w:t>条</w:t>
      </w:r>
      <w:r>
        <w:rPr>
          <w:rFonts w:hint="eastAsia" w:ascii="仿宋" w:hAnsi="仿宋" w:eastAsia="仿宋" w:cs="仿宋"/>
          <w:snapToGrid/>
          <w:color w:val="auto"/>
          <w:sz w:val="28"/>
          <w:szCs w:val="28"/>
        </w:rPr>
        <w:t> 校园自行车违规行为包括以下几种类型：</w:t>
      </w:r>
    </w:p>
    <w:p w14:paraId="6156132F">
      <w:pPr>
        <w:widowControl/>
        <w:shd w:val="clear" w:color="auto" w:fill="FFFFFF"/>
        <w:spacing w:line="360" w:lineRule="auto"/>
        <w:ind w:firstLine="645"/>
        <w:contextualSpacing/>
        <w:jc w:val="left"/>
        <w:rPr>
          <w:rFonts w:hint="eastAsia" w:ascii="仿宋" w:hAnsi="仿宋" w:eastAsia="仿宋" w:cs="仿宋"/>
          <w:snapToGrid/>
          <w:color w:val="auto"/>
          <w:sz w:val="28"/>
          <w:szCs w:val="28"/>
        </w:rPr>
      </w:pPr>
      <w:r>
        <w:rPr>
          <w:rFonts w:hint="eastAsia" w:ascii="仿宋" w:hAnsi="仿宋" w:eastAsia="仿宋" w:cs="仿宋"/>
          <w:snapToGrid/>
          <w:color w:val="auto"/>
          <w:sz w:val="28"/>
          <w:szCs w:val="28"/>
        </w:rPr>
        <w:t>1.未在划定的停车区域内有序规范停放自行车；</w:t>
      </w:r>
    </w:p>
    <w:p w14:paraId="1F4D0F7E">
      <w:pPr>
        <w:widowControl/>
        <w:shd w:val="clear" w:color="auto" w:fill="FFFFFF"/>
        <w:spacing w:line="360" w:lineRule="auto"/>
        <w:ind w:firstLine="645"/>
        <w:contextualSpacing/>
        <w:jc w:val="left"/>
        <w:rPr>
          <w:rFonts w:hint="eastAsia" w:ascii="仿宋" w:hAnsi="仿宋" w:eastAsia="仿宋" w:cs="仿宋"/>
          <w:snapToGrid/>
          <w:color w:val="auto"/>
          <w:sz w:val="28"/>
          <w:szCs w:val="28"/>
        </w:rPr>
      </w:pPr>
      <w:r>
        <w:rPr>
          <w:rFonts w:hint="eastAsia" w:ascii="仿宋" w:hAnsi="仿宋" w:eastAsia="仿宋" w:cs="仿宋"/>
          <w:snapToGrid/>
          <w:color w:val="auto"/>
          <w:sz w:val="28"/>
          <w:szCs w:val="28"/>
        </w:rPr>
        <w:t>2.骑行过程中低头使用电子设备、双手脱把、超速骑行、逆向骑行、相互追逐、急转猛拐、争道抢行等不安全骑行行为；</w:t>
      </w:r>
    </w:p>
    <w:p w14:paraId="1BEDFB2D">
      <w:pPr>
        <w:widowControl/>
        <w:shd w:val="clear" w:color="auto" w:fill="FFFFFF"/>
        <w:spacing w:line="360" w:lineRule="auto"/>
        <w:ind w:firstLine="645"/>
        <w:contextualSpacing/>
        <w:jc w:val="left"/>
        <w:rPr>
          <w:rFonts w:hint="eastAsia" w:ascii="仿宋" w:hAnsi="仿宋" w:eastAsia="仿宋" w:cs="仿宋"/>
          <w:snapToGrid/>
          <w:color w:val="auto"/>
          <w:sz w:val="28"/>
          <w:szCs w:val="28"/>
        </w:rPr>
      </w:pPr>
      <w:r>
        <w:rPr>
          <w:rFonts w:hint="eastAsia" w:ascii="仿宋" w:hAnsi="仿宋" w:eastAsia="仿宋" w:cs="仿宋"/>
          <w:snapToGrid/>
          <w:color w:val="auto"/>
          <w:sz w:val="28"/>
          <w:szCs w:val="28"/>
        </w:rPr>
        <w:t>3.酒后骑行、恶意堵门、强行闯门、导致重大交通事故等严重违规违法行为。</w:t>
      </w:r>
    </w:p>
    <w:p w14:paraId="4ED6BE36">
      <w:pPr>
        <w:widowControl/>
        <w:shd w:val="clear" w:color="auto" w:fill="FFFFFF"/>
        <w:spacing w:line="360" w:lineRule="auto"/>
        <w:ind w:firstLine="645"/>
        <w:contextualSpacing/>
        <w:jc w:val="left"/>
        <w:rPr>
          <w:rFonts w:hint="eastAsia" w:ascii="仿宋" w:hAnsi="仿宋" w:eastAsia="仿宋" w:cs="仿宋"/>
          <w:snapToGrid/>
          <w:color w:val="auto"/>
          <w:sz w:val="28"/>
          <w:szCs w:val="28"/>
        </w:rPr>
      </w:pPr>
      <w:r>
        <w:rPr>
          <w:rFonts w:hint="eastAsia" w:ascii="仿宋" w:hAnsi="仿宋" w:eastAsia="仿宋" w:cs="仿宋"/>
          <w:b/>
          <w:bCs/>
          <w:snapToGrid/>
          <w:color w:val="auto"/>
          <w:sz w:val="28"/>
          <w:szCs w:val="28"/>
        </w:rPr>
        <w:t>第十</w:t>
      </w:r>
      <w:r>
        <w:rPr>
          <w:rFonts w:hint="eastAsia" w:ascii="仿宋" w:hAnsi="仿宋" w:eastAsia="仿宋" w:cs="仿宋"/>
          <w:b/>
          <w:bCs/>
          <w:snapToGrid/>
          <w:color w:val="auto"/>
          <w:sz w:val="28"/>
          <w:szCs w:val="28"/>
          <w:lang w:val="en-US" w:eastAsia="zh-CN"/>
        </w:rPr>
        <w:t>五</w:t>
      </w:r>
      <w:r>
        <w:rPr>
          <w:rFonts w:hint="eastAsia" w:ascii="仿宋" w:hAnsi="仿宋" w:eastAsia="仿宋" w:cs="仿宋"/>
          <w:b/>
          <w:bCs/>
          <w:snapToGrid/>
          <w:color w:val="auto"/>
          <w:sz w:val="28"/>
          <w:szCs w:val="28"/>
        </w:rPr>
        <w:t>条</w:t>
      </w:r>
      <w:r>
        <w:rPr>
          <w:rFonts w:hint="eastAsia" w:ascii="仿宋" w:hAnsi="仿宋" w:eastAsia="仿宋" w:cs="仿宋"/>
          <w:b/>
          <w:bCs/>
          <w:snapToGrid/>
          <w:color w:val="auto"/>
          <w:sz w:val="28"/>
          <w:szCs w:val="28"/>
          <w:lang w:val="en-US" w:eastAsia="zh-CN"/>
        </w:rPr>
        <w:t xml:space="preserve"> </w:t>
      </w:r>
      <w:r>
        <w:rPr>
          <w:rFonts w:hint="eastAsia" w:ascii="仿宋" w:hAnsi="仿宋" w:eastAsia="仿宋" w:cs="仿宋"/>
          <w:snapToGrid/>
          <w:color w:val="auto"/>
          <w:sz w:val="28"/>
          <w:szCs w:val="28"/>
        </w:rPr>
        <w:t>对于未在划定的停车区域内有序规范停放自行车的情形，保卫部将违规车辆清拖到“违规非机动车集中停放点”，车主填写《校园文明出行保证书》，审核通过后领回车辆；</w:t>
      </w:r>
    </w:p>
    <w:p w14:paraId="203C42CE">
      <w:pPr>
        <w:widowControl/>
        <w:shd w:val="clear" w:color="auto" w:fill="FFFFFF"/>
        <w:spacing w:line="360" w:lineRule="auto"/>
        <w:ind w:firstLine="645"/>
        <w:contextualSpacing/>
        <w:jc w:val="left"/>
        <w:rPr>
          <w:rFonts w:hint="eastAsia" w:ascii="仿宋" w:hAnsi="仿宋" w:eastAsia="仿宋" w:cs="仿宋"/>
          <w:snapToGrid/>
          <w:color w:val="auto"/>
          <w:sz w:val="28"/>
          <w:szCs w:val="28"/>
        </w:rPr>
      </w:pPr>
      <w:r>
        <w:rPr>
          <w:rFonts w:hint="eastAsia" w:ascii="仿宋" w:hAnsi="仿宋" w:eastAsia="仿宋" w:cs="仿宋"/>
          <w:b/>
          <w:bCs/>
          <w:snapToGrid/>
          <w:color w:val="auto"/>
          <w:sz w:val="28"/>
          <w:szCs w:val="28"/>
        </w:rPr>
        <w:t>第十</w:t>
      </w:r>
      <w:r>
        <w:rPr>
          <w:rFonts w:hint="eastAsia" w:ascii="仿宋" w:hAnsi="仿宋" w:eastAsia="仿宋" w:cs="仿宋"/>
          <w:b/>
          <w:bCs/>
          <w:snapToGrid/>
          <w:color w:val="auto"/>
          <w:sz w:val="28"/>
          <w:szCs w:val="28"/>
          <w:lang w:val="en-US" w:eastAsia="zh-CN"/>
        </w:rPr>
        <w:t>六</w:t>
      </w:r>
      <w:r>
        <w:rPr>
          <w:rFonts w:hint="eastAsia" w:ascii="仿宋" w:hAnsi="仿宋" w:eastAsia="仿宋" w:cs="仿宋"/>
          <w:b/>
          <w:bCs/>
          <w:snapToGrid/>
          <w:color w:val="auto"/>
          <w:sz w:val="28"/>
          <w:szCs w:val="28"/>
        </w:rPr>
        <w:t>条</w:t>
      </w:r>
      <w:r>
        <w:rPr>
          <w:rFonts w:hint="eastAsia" w:ascii="仿宋" w:hAnsi="仿宋" w:eastAsia="仿宋" w:cs="仿宋"/>
          <w:b/>
          <w:bCs/>
          <w:snapToGrid/>
          <w:color w:val="auto"/>
          <w:sz w:val="28"/>
          <w:szCs w:val="28"/>
          <w:lang w:val="en-US" w:eastAsia="zh-CN"/>
        </w:rPr>
        <w:t xml:space="preserve"> </w:t>
      </w:r>
      <w:r>
        <w:rPr>
          <w:rFonts w:hint="eastAsia" w:ascii="仿宋" w:hAnsi="仿宋" w:eastAsia="仿宋" w:cs="仿宋"/>
          <w:snapToGrid/>
          <w:color w:val="auto"/>
          <w:sz w:val="28"/>
          <w:szCs w:val="28"/>
        </w:rPr>
        <w:t>对于出现骑行过程中低头使用电子设备、双手脱把、超速骑行、逆向骑行、相互追逐、急转猛拐、争道抢行等不安全骑行行为的车主，保卫部将通报车主所在单位（部门）对其进行批评教育，车主须填写《校园文明出行保证书》（须签章）。造成严重后果的，保卫部将视情节严重程度，通报学校相关单位（部门）按校纪校规给予相应处理。</w:t>
      </w:r>
    </w:p>
    <w:p w14:paraId="1B920D9F">
      <w:pPr>
        <w:widowControl/>
        <w:shd w:val="clear" w:color="auto" w:fill="FFFFFF"/>
        <w:spacing w:line="360" w:lineRule="auto"/>
        <w:ind w:firstLine="645"/>
        <w:contextualSpacing/>
        <w:jc w:val="left"/>
        <w:rPr>
          <w:rFonts w:hint="eastAsia" w:ascii="仿宋" w:hAnsi="仿宋" w:eastAsia="仿宋" w:cs="仿宋"/>
          <w:snapToGrid/>
          <w:color w:val="auto"/>
          <w:sz w:val="28"/>
          <w:szCs w:val="28"/>
        </w:rPr>
      </w:pPr>
      <w:r>
        <w:rPr>
          <w:rFonts w:hint="eastAsia" w:ascii="仿宋" w:hAnsi="仿宋" w:eastAsia="仿宋" w:cs="仿宋"/>
          <w:b/>
          <w:bCs/>
          <w:snapToGrid/>
          <w:color w:val="auto"/>
          <w:sz w:val="28"/>
          <w:szCs w:val="28"/>
        </w:rPr>
        <w:t>第</w:t>
      </w:r>
      <w:r>
        <w:rPr>
          <w:rFonts w:hint="eastAsia" w:ascii="仿宋" w:hAnsi="仿宋" w:eastAsia="仿宋" w:cs="仿宋"/>
          <w:b/>
          <w:bCs/>
          <w:snapToGrid/>
          <w:color w:val="auto"/>
          <w:sz w:val="28"/>
          <w:szCs w:val="28"/>
          <w:lang w:val="en-US" w:eastAsia="zh-CN"/>
        </w:rPr>
        <w:t>十七</w:t>
      </w:r>
      <w:r>
        <w:rPr>
          <w:rFonts w:hint="eastAsia" w:ascii="仿宋" w:hAnsi="仿宋" w:eastAsia="仿宋" w:cs="仿宋"/>
          <w:b/>
          <w:bCs/>
          <w:snapToGrid/>
          <w:color w:val="auto"/>
          <w:sz w:val="28"/>
          <w:szCs w:val="28"/>
        </w:rPr>
        <w:t>条</w:t>
      </w:r>
      <w:r>
        <w:rPr>
          <w:rFonts w:hint="eastAsia" w:ascii="仿宋" w:hAnsi="仿宋" w:eastAsia="仿宋" w:cs="仿宋"/>
          <w:b/>
          <w:bCs/>
          <w:snapToGrid/>
          <w:color w:val="auto"/>
          <w:sz w:val="28"/>
          <w:szCs w:val="28"/>
          <w:lang w:val="en-US" w:eastAsia="zh-CN"/>
        </w:rPr>
        <w:t xml:space="preserve"> </w:t>
      </w:r>
      <w:r>
        <w:rPr>
          <w:rFonts w:hint="eastAsia" w:ascii="仿宋" w:hAnsi="仿宋" w:eastAsia="仿宋" w:cs="仿宋"/>
          <w:snapToGrid/>
          <w:color w:val="auto"/>
          <w:sz w:val="28"/>
          <w:szCs w:val="28"/>
        </w:rPr>
        <w:t>对于出现酒后骑行、恶意堵门、强行闯门、导致重大交通事故等严重违规违法行为的车主，保卫部将取消车主自行车校内通行权限，并通报学校相关单位（部门）按校纪校规给予相应处理。</w:t>
      </w:r>
    </w:p>
    <w:p w14:paraId="3B420603">
      <w:pPr>
        <w:widowControl/>
        <w:shd w:val="clear" w:color="auto" w:fill="FFFFFF"/>
        <w:spacing w:line="360" w:lineRule="auto"/>
        <w:ind w:firstLine="645"/>
        <w:contextualSpacing/>
        <w:jc w:val="left"/>
        <w:rPr>
          <w:rFonts w:hint="eastAsia" w:ascii="微软雅黑" w:hAnsi="微软雅黑" w:eastAsia="微软雅黑" w:cs="宋体"/>
          <w:snapToGrid/>
          <w:color w:val="auto"/>
          <w:sz w:val="28"/>
          <w:szCs w:val="28"/>
        </w:rPr>
      </w:pPr>
      <w:r>
        <w:rPr>
          <w:rFonts w:hint="eastAsia" w:ascii="仿宋" w:hAnsi="仿宋" w:eastAsia="仿宋" w:cs="仿宋"/>
          <w:b/>
          <w:bCs/>
          <w:snapToGrid/>
          <w:color w:val="auto"/>
          <w:sz w:val="28"/>
          <w:szCs w:val="28"/>
        </w:rPr>
        <w:t>第</w:t>
      </w:r>
      <w:r>
        <w:rPr>
          <w:rFonts w:hint="eastAsia" w:ascii="仿宋" w:hAnsi="仿宋" w:eastAsia="仿宋" w:cs="仿宋"/>
          <w:b/>
          <w:bCs/>
          <w:snapToGrid/>
          <w:color w:val="auto"/>
          <w:sz w:val="28"/>
          <w:szCs w:val="28"/>
          <w:lang w:val="en-US" w:eastAsia="zh-CN"/>
        </w:rPr>
        <w:t>十八</w:t>
      </w:r>
      <w:r>
        <w:rPr>
          <w:rFonts w:hint="eastAsia" w:ascii="仿宋" w:hAnsi="仿宋" w:eastAsia="仿宋" w:cs="仿宋"/>
          <w:b/>
          <w:bCs/>
          <w:snapToGrid/>
          <w:color w:val="auto"/>
          <w:sz w:val="28"/>
          <w:szCs w:val="28"/>
        </w:rPr>
        <w:t>条</w:t>
      </w:r>
      <w:r>
        <w:rPr>
          <w:rFonts w:hint="eastAsia" w:ascii="仿宋" w:hAnsi="仿宋" w:eastAsia="仿宋" w:cs="仿宋"/>
          <w:b/>
          <w:bCs/>
          <w:snapToGrid/>
          <w:color w:val="auto"/>
          <w:sz w:val="28"/>
          <w:szCs w:val="28"/>
          <w:lang w:val="en-US" w:eastAsia="zh-CN"/>
        </w:rPr>
        <w:t xml:space="preserve"> </w:t>
      </w:r>
      <w:r>
        <w:rPr>
          <w:rFonts w:hint="eastAsia" w:ascii="仿宋" w:hAnsi="仿宋" w:eastAsia="仿宋" w:cs="仿宋"/>
          <w:snapToGrid/>
          <w:color w:val="auto"/>
          <w:sz w:val="28"/>
          <w:szCs w:val="28"/>
        </w:rPr>
        <w:t>保卫部将不定期向各单位（部门）通报其所属人员违反本办法相关违规违法行为，并将通报结果作为当年度综治考评先进单位和个人重要参考依据。</w:t>
      </w:r>
    </w:p>
    <w:p w14:paraId="71E73C91">
      <w:pPr>
        <w:widowControl/>
        <w:shd w:val="clear" w:color="auto" w:fill="FFFFFF"/>
        <w:spacing w:line="360" w:lineRule="auto"/>
        <w:contextualSpacing/>
        <w:jc w:val="center"/>
        <w:rPr>
          <w:rFonts w:hint="eastAsia" w:ascii="黑体" w:hAnsi="黑体" w:eastAsia="黑体" w:cs="宋体"/>
          <w:b/>
          <w:bCs/>
          <w:snapToGrid/>
          <w:color w:val="auto"/>
          <w:sz w:val="28"/>
          <w:szCs w:val="28"/>
        </w:rPr>
      </w:pPr>
    </w:p>
    <w:p w14:paraId="230DC2A0">
      <w:pPr>
        <w:widowControl/>
        <w:shd w:val="clear" w:color="auto" w:fill="FFFFFF"/>
        <w:spacing w:line="360" w:lineRule="auto"/>
        <w:contextualSpacing/>
        <w:jc w:val="center"/>
        <w:rPr>
          <w:rFonts w:hint="eastAsia" w:ascii="微软雅黑" w:hAnsi="微软雅黑" w:eastAsia="微软雅黑" w:cs="宋体"/>
          <w:b/>
          <w:bCs/>
          <w:snapToGrid/>
          <w:color w:val="auto"/>
          <w:sz w:val="28"/>
          <w:szCs w:val="28"/>
        </w:rPr>
      </w:pPr>
      <w:r>
        <w:rPr>
          <w:rFonts w:hint="eastAsia" w:ascii="黑体" w:hAnsi="黑体" w:eastAsia="黑体" w:cs="宋体"/>
          <w:b/>
          <w:bCs/>
          <w:snapToGrid/>
          <w:color w:val="auto"/>
          <w:sz w:val="28"/>
          <w:szCs w:val="28"/>
        </w:rPr>
        <w:t>第六章 废弃自行车处置</w:t>
      </w:r>
    </w:p>
    <w:p w14:paraId="535AB5C1">
      <w:pPr>
        <w:widowControl/>
        <w:shd w:val="clear" w:color="auto" w:fill="FFFFFF"/>
        <w:spacing w:line="360" w:lineRule="auto"/>
        <w:ind w:firstLine="645"/>
        <w:contextualSpacing/>
        <w:jc w:val="left"/>
        <w:rPr>
          <w:rFonts w:hint="eastAsia" w:ascii="仿宋" w:hAnsi="仿宋" w:eastAsia="仿宋" w:cs="仿宋"/>
          <w:snapToGrid/>
          <w:color w:val="auto"/>
          <w:sz w:val="28"/>
          <w:szCs w:val="28"/>
        </w:rPr>
      </w:pPr>
      <w:r>
        <w:rPr>
          <w:rFonts w:hint="eastAsia" w:ascii="仿宋" w:hAnsi="仿宋" w:eastAsia="仿宋" w:cs="仿宋"/>
          <w:b/>
          <w:bCs/>
          <w:snapToGrid/>
          <w:color w:val="auto"/>
          <w:sz w:val="28"/>
          <w:szCs w:val="28"/>
        </w:rPr>
        <w:t>第</w:t>
      </w:r>
      <w:r>
        <w:rPr>
          <w:rFonts w:hint="eastAsia" w:ascii="仿宋" w:hAnsi="仿宋" w:eastAsia="仿宋" w:cs="仿宋"/>
          <w:b/>
          <w:bCs/>
          <w:snapToGrid/>
          <w:color w:val="auto"/>
          <w:sz w:val="28"/>
          <w:szCs w:val="28"/>
          <w:lang w:val="en-US" w:eastAsia="zh-CN"/>
        </w:rPr>
        <w:t>十九</w:t>
      </w:r>
      <w:r>
        <w:rPr>
          <w:rFonts w:hint="eastAsia" w:ascii="仿宋" w:hAnsi="仿宋" w:eastAsia="仿宋" w:cs="仿宋"/>
          <w:b/>
          <w:bCs/>
          <w:snapToGrid/>
          <w:color w:val="auto"/>
          <w:sz w:val="28"/>
          <w:szCs w:val="28"/>
        </w:rPr>
        <w:t>条</w:t>
      </w:r>
      <w:r>
        <w:rPr>
          <w:rFonts w:hint="eastAsia" w:ascii="仿宋" w:hAnsi="仿宋" w:eastAsia="仿宋" w:cs="仿宋"/>
          <w:snapToGrid/>
          <w:color w:val="auto"/>
          <w:sz w:val="28"/>
          <w:szCs w:val="28"/>
        </w:rPr>
        <w:t> 对于校园内存在严重车体老化、链条生锈、车胎破损等现象的废弃自行车、通行证过期的自行车以及未张贴通行证的自行车，保卫部将不定期清拖至“非机动车临时集中停放点”，学期末将集中清拖到</w:t>
      </w:r>
      <w:bookmarkStart w:id="0" w:name="OLE_LINK3"/>
      <w:r>
        <w:rPr>
          <w:rFonts w:hint="eastAsia" w:ascii="仿宋" w:hAnsi="仿宋" w:eastAsia="仿宋" w:cs="仿宋"/>
          <w:snapToGrid/>
          <w:color w:val="auto"/>
          <w:sz w:val="28"/>
          <w:szCs w:val="28"/>
        </w:rPr>
        <w:t>“废弃非机动车集中停放点”</w:t>
      </w:r>
      <w:bookmarkEnd w:id="0"/>
      <w:r>
        <w:rPr>
          <w:rFonts w:hint="eastAsia" w:ascii="仿宋" w:hAnsi="仿宋" w:eastAsia="仿宋" w:cs="仿宋"/>
          <w:snapToGrid/>
          <w:color w:val="auto"/>
          <w:sz w:val="28"/>
          <w:szCs w:val="28"/>
        </w:rPr>
        <w:t>。车主应在保卫处发布清理公告后六个月内携带有关证件或凭证至保卫部认领。</w:t>
      </w:r>
    </w:p>
    <w:p w14:paraId="740BF9B4">
      <w:pPr>
        <w:widowControl/>
        <w:shd w:val="clear" w:color="auto" w:fill="FFFFFF"/>
        <w:spacing w:line="360" w:lineRule="auto"/>
        <w:ind w:firstLine="645"/>
        <w:contextualSpacing/>
        <w:jc w:val="left"/>
        <w:rPr>
          <w:rFonts w:hint="eastAsia" w:ascii="微软雅黑" w:hAnsi="微软雅黑" w:eastAsia="微软雅黑" w:cs="宋体"/>
          <w:snapToGrid/>
          <w:color w:val="auto"/>
          <w:sz w:val="28"/>
          <w:szCs w:val="28"/>
        </w:rPr>
      </w:pPr>
      <w:r>
        <w:rPr>
          <w:rFonts w:hint="eastAsia" w:ascii="仿宋" w:hAnsi="仿宋" w:eastAsia="仿宋" w:cs="仿宋"/>
          <w:b/>
          <w:bCs/>
          <w:snapToGrid/>
          <w:color w:val="auto"/>
          <w:sz w:val="28"/>
          <w:szCs w:val="28"/>
        </w:rPr>
        <w:t>第</w:t>
      </w:r>
      <w:r>
        <w:rPr>
          <w:rFonts w:hint="eastAsia" w:ascii="仿宋" w:hAnsi="仿宋" w:eastAsia="仿宋" w:cs="仿宋"/>
          <w:b/>
          <w:bCs/>
          <w:snapToGrid/>
          <w:color w:val="auto"/>
          <w:sz w:val="28"/>
          <w:szCs w:val="28"/>
          <w:lang w:val="en-US" w:eastAsia="zh-CN"/>
        </w:rPr>
        <w:t>二十</w:t>
      </w:r>
      <w:r>
        <w:rPr>
          <w:rFonts w:hint="eastAsia" w:ascii="仿宋" w:hAnsi="仿宋" w:eastAsia="仿宋" w:cs="仿宋"/>
          <w:b/>
          <w:bCs/>
          <w:snapToGrid/>
          <w:color w:val="auto"/>
          <w:sz w:val="28"/>
          <w:szCs w:val="28"/>
        </w:rPr>
        <w:t>条</w:t>
      </w:r>
      <w:r>
        <w:rPr>
          <w:rFonts w:hint="eastAsia" w:ascii="仿宋" w:hAnsi="仿宋" w:eastAsia="仿宋" w:cs="仿宋"/>
          <w:snapToGrid/>
          <w:color w:val="auto"/>
          <w:sz w:val="28"/>
          <w:szCs w:val="28"/>
        </w:rPr>
        <w:t> 对清拖至“废弃非机动车集中停放点”达六个月且无人认领的车辆，保卫部将按照无主物进行清理。</w:t>
      </w:r>
    </w:p>
    <w:p w14:paraId="789B8AA1">
      <w:pPr>
        <w:widowControl/>
        <w:shd w:val="clear" w:color="auto" w:fill="FFFFFF"/>
        <w:spacing w:line="360" w:lineRule="auto"/>
        <w:contextualSpacing/>
        <w:jc w:val="center"/>
        <w:rPr>
          <w:rFonts w:hint="eastAsia" w:ascii="黑体" w:hAnsi="黑体" w:eastAsia="黑体" w:cs="宋体"/>
          <w:b/>
          <w:bCs/>
          <w:snapToGrid/>
          <w:color w:val="auto"/>
          <w:sz w:val="28"/>
          <w:szCs w:val="28"/>
        </w:rPr>
      </w:pPr>
    </w:p>
    <w:p w14:paraId="388C5068">
      <w:pPr>
        <w:widowControl/>
        <w:shd w:val="clear" w:color="auto" w:fill="FFFFFF"/>
        <w:spacing w:line="360" w:lineRule="auto"/>
        <w:contextualSpacing/>
        <w:jc w:val="center"/>
        <w:rPr>
          <w:rFonts w:hint="eastAsia" w:ascii="微软雅黑" w:hAnsi="微软雅黑" w:eastAsia="微软雅黑" w:cs="宋体"/>
          <w:b/>
          <w:bCs/>
          <w:snapToGrid/>
          <w:color w:val="auto"/>
          <w:sz w:val="28"/>
          <w:szCs w:val="28"/>
        </w:rPr>
      </w:pPr>
      <w:r>
        <w:rPr>
          <w:rFonts w:hint="eastAsia" w:ascii="黑体" w:hAnsi="黑体" w:eastAsia="黑体" w:cs="宋体"/>
          <w:b/>
          <w:bCs/>
          <w:snapToGrid/>
          <w:color w:val="auto"/>
          <w:sz w:val="28"/>
          <w:szCs w:val="28"/>
        </w:rPr>
        <w:t>第七章 附则</w:t>
      </w:r>
    </w:p>
    <w:p w14:paraId="115F697A">
      <w:pPr>
        <w:widowControl/>
        <w:shd w:val="clear" w:color="auto" w:fill="FFFFFF"/>
        <w:spacing w:line="360" w:lineRule="auto"/>
        <w:ind w:firstLine="645"/>
        <w:contextualSpacing/>
        <w:jc w:val="left"/>
        <w:rPr>
          <w:rFonts w:hint="eastAsia" w:ascii="仿宋" w:hAnsi="仿宋" w:eastAsia="仿宋" w:cs="仿宋"/>
          <w:snapToGrid/>
          <w:color w:val="auto"/>
          <w:sz w:val="21"/>
          <w:szCs w:val="21"/>
        </w:rPr>
      </w:pPr>
      <w:r>
        <w:rPr>
          <w:rFonts w:hint="eastAsia" w:ascii="仿宋" w:hAnsi="仿宋" w:eastAsia="仿宋" w:cs="仿宋"/>
          <w:snapToGrid/>
          <w:color w:val="auto"/>
          <w:sz w:val="28"/>
          <w:szCs w:val="28"/>
        </w:rPr>
        <w:t> 本办法由保卫部负责解释，自发布之日起生效施行。</w:t>
      </w:r>
    </w:p>
    <w:p w14:paraId="4C6ADEED">
      <w:pPr>
        <w:widowControl/>
        <w:shd w:val="clear" w:color="auto" w:fill="FFFFFF"/>
        <w:ind w:firstLine="480"/>
        <w:jc w:val="left"/>
        <w:rPr>
          <w:rFonts w:hint="eastAsia" w:ascii="微软雅黑" w:hAnsi="微软雅黑" w:eastAsia="微软雅黑" w:cs="宋体"/>
          <w:snapToGrid/>
          <w:color w:val="333333"/>
          <w:sz w:val="24"/>
          <w:szCs w:val="24"/>
        </w:rPr>
      </w:pPr>
    </w:p>
    <w:p w14:paraId="6E33E803">
      <w:r>
        <w:rPr>
          <w:rFonts w:hint="eastAsia" w:ascii="黑体" w:hAnsi="黑体" w:eastAsia="黑体" w:cs="黑体"/>
          <w:b/>
          <w:bCs/>
          <w:sz w:val="36"/>
          <w:szCs w:val="36"/>
          <w:lang w:eastAsia="zh-CN"/>
        </w:rPr>
        <w:drawing>
          <wp:anchor distT="0" distB="0" distL="114300" distR="114300" simplePos="0" relativeHeight="251660288" behindDoc="0" locked="0" layoutInCell="1" allowOverlap="1">
            <wp:simplePos x="0" y="0"/>
            <wp:positionH relativeFrom="column">
              <wp:posOffset>2390140</wp:posOffset>
            </wp:positionH>
            <wp:positionV relativeFrom="page">
              <wp:posOffset>2176780</wp:posOffset>
            </wp:positionV>
            <wp:extent cx="1562100" cy="1562100"/>
            <wp:effectExtent l="0" t="0" r="0" b="0"/>
            <wp:wrapNone/>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6">
                      <a:lum bright="24000" contrast="6000"/>
                    </a:blip>
                    <a:stretch>
                      <a:fillRect/>
                    </a:stretch>
                  </pic:blipFill>
                  <pic:spPr>
                    <a:xfrm>
                      <a:off x="0" y="0"/>
                      <a:ext cx="1562100" cy="1562100"/>
                    </a:xfrm>
                    <a:prstGeom prst="rect">
                      <a:avLst/>
                    </a:prstGeom>
                    <a:noFill/>
                    <a:ln>
                      <a:noFill/>
                    </a:ln>
                  </pic:spPr>
                </pic:pic>
              </a:graphicData>
            </a:graphic>
          </wp:anchor>
        </w:drawing>
      </w:r>
    </w:p>
    <w:p w14:paraId="7DECA7A5">
      <w:pPr>
        <w:pStyle w:val="3"/>
        <w:rPr>
          <w:rFonts w:hint="default"/>
          <w:sz w:val="30"/>
          <w:lang w:val="en-US" w:eastAsia="zh-CN"/>
        </w:rPr>
      </w:pPr>
    </w:p>
    <w:p w14:paraId="0C7E6FE4">
      <w:pPr>
        <w:pStyle w:val="3"/>
        <w:rPr>
          <w:rFonts w:hint="eastAsia"/>
          <w:sz w:val="30"/>
          <w:lang w:val="en-US" w:eastAsia="zh-CN"/>
        </w:rPr>
      </w:pPr>
      <w:r>
        <w:rPr>
          <w:rFonts w:hint="eastAsia"/>
          <w:sz w:val="30"/>
          <w:lang w:val="en-US" w:eastAsia="zh-CN"/>
        </w:rPr>
        <w:t xml:space="preserve">                                 湖南化工职业技术学院</w:t>
      </w:r>
    </w:p>
    <w:p w14:paraId="7981AD3A">
      <w:pPr>
        <w:pStyle w:val="3"/>
        <w:ind w:firstLine="6000" w:firstLineChars="2000"/>
        <w:rPr>
          <w:rFonts w:hint="eastAsia"/>
          <w:sz w:val="30"/>
          <w:lang w:val="en-US" w:eastAsia="zh-CN"/>
        </w:rPr>
      </w:pPr>
      <w:r>
        <w:rPr>
          <w:rFonts w:hint="eastAsia"/>
          <w:sz w:val="30"/>
          <w:lang w:val="en-US" w:eastAsia="zh-CN"/>
        </w:rPr>
        <w:t>保卫部</w:t>
      </w:r>
    </w:p>
    <w:p w14:paraId="2AC7898C">
      <w:pPr>
        <w:pStyle w:val="3"/>
        <w:ind w:firstLine="5400" w:firstLineChars="1800"/>
        <w:rPr>
          <w:rFonts w:hint="default"/>
          <w:sz w:val="30"/>
          <w:lang w:val="en-US" w:eastAsia="zh-CN"/>
        </w:rPr>
      </w:pPr>
      <w:r>
        <w:rPr>
          <w:rFonts w:hint="eastAsia"/>
          <w:sz w:val="30"/>
          <w:lang w:val="en-US" w:eastAsia="zh-CN"/>
        </w:rPr>
        <w:t>2026年6月24日</w:t>
      </w:r>
    </w:p>
    <w:p w14:paraId="710236D2">
      <w:pPr>
        <w:pStyle w:val="3"/>
        <w:rPr>
          <w:rFonts w:hint="eastAsia"/>
          <w:lang w:val="en-US"/>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2F0C2">
    <w:pPr>
      <w:spacing w:line="234" w:lineRule="auto"/>
      <w:ind w:left="50"/>
      <w:rPr>
        <w:sz w:val="28"/>
        <w:szCs w:val="28"/>
      </w:rPr>
    </w:pPr>
    <w:r>
      <w:rPr>
        <w:spacing w:val="26"/>
        <w:sz w:val="28"/>
        <w:szCs w:val="28"/>
      </w:rPr>
      <w:t>-</w:t>
    </w:r>
    <w:r>
      <w:rPr>
        <w:spacing w:val="69"/>
        <w:sz w:val="28"/>
        <w:szCs w:val="28"/>
      </w:rPr>
      <w:t xml:space="preserve"> </w:t>
    </w:r>
    <w:r>
      <w:rPr>
        <w:spacing w:val="26"/>
        <w:sz w:val="28"/>
        <w:szCs w:val="28"/>
      </w:rPr>
      <w:t>10</w:t>
    </w:r>
    <w:r>
      <w:rPr>
        <w:spacing w:val="34"/>
        <w:sz w:val="28"/>
        <w:szCs w:val="28"/>
      </w:rPr>
      <w:t xml:space="preserve"> </w:t>
    </w:r>
    <w:r>
      <w:rPr>
        <w:spacing w:val="26"/>
        <w:sz w:val="28"/>
        <w:szCs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835183D"/>
    <w:rsid w:val="3B692C3B"/>
    <w:rsid w:val="64A103DD"/>
    <w:rsid w:val="64AB1699"/>
    <w:rsid w:val="784B50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zh-CN" w:eastAsia="zh-CN" w:bidi="zh-CN"/>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annotation text"/>
    <w:basedOn w:val="1"/>
    <w:qFormat/>
    <w:uiPriority w:val="0"/>
    <w:pPr>
      <w:autoSpaceDE/>
      <w:autoSpaceDN/>
    </w:pPr>
    <w:rPr>
      <w:rFonts w:ascii="Times New Roman" w:hAnsi="Times New Roman" w:cs="Times New Roman"/>
      <w:kern w:val="2"/>
      <w:sz w:val="21"/>
      <w:szCs w:val="21"/>
      <w:lang w:val="en-US" w:bidi="ar-SA"/>
    </w:rPr>
  </w:style>
  <w:style w:type="paragraph" w:styleId="3">
    <w:name w:val="footer"/>
    <w:basedOn w:val="1"/>
    <w:qFormat/>
    <w:uiPriority w:val="99"/>
    <w:pPr>
      <w:tabs>
        <w:tab w:val="center" w:pos="4153"/>
        <w:tab w:val="right" w:pos="8306"/>
      </w:tabs>
      <w:snapToGrid w:val="0"/>
    </w:pPr>
    <w:rPr>
      <w:sz w:val="18"/>
    </w:rPr>
  </w:style>
  <w:style w:type="paragraph" w:styleId="4">
    <w:name w:val="Normal (Web)"/>
    <w:basedOn w:val="1"/>
    <w:unhideWhenUsed/>
    <w:qFormat/>
    <w:uiPriority w:val="99"/>
    <w:pPr>
      <w:widowControl/>
      <w:autoSpaceDE/>
      <w:autoSpaceDN/>
      <w:spacing w:before="100" w:beforeAutospacing="1" w:after="100" w:afterAutospacing="1"/>
    </w:pPr>
    <w:rPr>
      <w:sz w:val="24"/>
      <w:szCs w:val="24"/>
      <w:lang w:val="en-US" w:bidi="ar-SA"/>
    </w:rPr>
  </w:style>
  <w:style w:type="paragraph" w:customStyle="1" w:styleId="7">
    <w:name w:val="样式2"/>
    <w:basedOn w:val="8"/>
    <w:next w:val="1"/>
    <w:qFormat/>
    <w:uiPriority w:val="0"/>
  </w:style>
  <w:style w:type="paragraph" w:customStyle="1" w:styleId="8">
    <w:name w:val="_Style 6"/>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1874</Words>
  <Characters>1887</Characters>
  <Lines>0</Lines>
  <Paragraphs>0</Paragraphs>
  <TotalTime>24</TotalTime>
  <ScaleCrop>false</ScaleCrop>
  <LinksUpToDate>false</LinksUpToDate>
  <CharactersWithSpaces>1948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2026-06-18T01:48:00Z</dcterms:created>
  <dc:creator>Administrator</dc:creator>
  <cp:lastModifiedBy>鼻血泡饭</cp:lastModifiedBy>
  <dcterms:modified xsi:type="dcterms:W3CDTF">2026-06-24T10:43:45Z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eyJoZGlkIjoiMGE3ZmY3ZDZjZWY3YTBjNDdmNDA3MzA0YTAzYzc2ZGEiLCJ1c2VySWQiOiIxNTUwNDkwOSJ9</vt:lpwstr>
  </property>
  <property fmtid="{D5CDD505-2E9C-101B-9397-08002B2CF9AE}" pid="4" name="ICV">
    <vt:lpwstr>DBA3B0E602344A058675A8F9CA032946_13</vt:lpwstr>
  </property>
</Properties>
</file>