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b/>
          <w:sz w:val="52"/>
          <w:szCs w:val="52"/>
        </w:rPr>
      </w:pPr>
      <w:bookmarkStart w:id="0" w:name="_Hlk160805985"/>
      <w:r>
        <w:rPr>
          <w:rFonts w:hint="eastAsia" w:eastAsia="黑体"/>
          <w:b/>
          <w:sz w:val="52"/>
          <w:szCs w:val="52"/>
        </w:rPr>
        <w:t>湖南化工职业技术学院</w:t>
      </w:r>
    </w:p>
    <w:bookmarkEnd w:id="0"/>
    <w:p>
      <w:pPr>
        <w:jc w:val="center"/>
        <w:rPr>
          <w:rFonts w:eastAsia="黑体"/>
          <w:b/>
          <w:sz w:val="52"/>
          <w:szCs w:val="52"/>
        </w:rPr>
      </w:pPr>
      <w:r>
        <w:rPr>
          <w:rFonts w:hint="eastAsia" w:eastAsia="黑体"/>
          <w:b/>
          <w:sz w:val="52"/>
          <w:szCs w:val="52"/>
        </w:rPr>
        <w:t>2024年度工程造价服务项目</w:t>
      </w:r>
    </w:p>
    <w:p>
      <w:pPr>
        <w:spacing w:before="312" w:beforeLines="100"/>
        <w:jc w:val="center"/>
        <w:rPr>
          <w:rFonts w:ascii="黑体" w:hAnsi="黑体" w:eastAsia="黑体" w:cs="黑体"/>
          <w:sz w:val="84"/>
          <w:szCs w:val="84"/>
        </w:rPr>
      </w:pPr>
      <w:r>
        <w:rPr>
          <w:rFonts w:hint="eastAsia" w:ascii="黑体" w:hAnsi="黑体" w:eastAsia="黑体" w:cs="黑体"/>
          <w:sz w:val="84"/>
          <w:szCs w:val="84"/>
        </w:rPr>
        <w:t>比选文件</w:t>
      </w:r>
    </w:p>
    <w:p/>
    <w:p/>
    <w:p/>
    <w:p/>
    <w:p/>
    <w:p/>
    <w:p/>
    <w:p/>
    <w:p/>
    <w:p/>
    <w:p/>
    <w:p/>
    <w:p/>
    <w:p/>
    <w:p/>
    <w:p/>
    <w:p/>
    <w:p/>
    <w:p/>
    <w:p/>
    <w:p/>
    <w:p/>
    <w:p/>
    <w:p>
      <w:pPr>
        <w:jc w:val="center"/>
        <w:rPr>
          <w:sz w:val="32"/>
        </w:rPr>
      </w:pPr>
      <w:r>
        <w:rPr>
          <w:rFonts w:hint="eastAsia"/>
          <w:sz w:val="32"/>
        </w:rPr>
        <w:t>202</w:t>
      </w:r>
      <w:r>
        <w:rPr>
          <w:sz w:val="32"/>
        </w:rPr>
        <w:t>4</w:t>
      </w:r>
      <w:r>
        <w:rPr>
          <w:rFonts w:hint="eastAsia"/>
          <w:sz w:val="32"/>
        </w:rPr>
        <w:t>年3月</w:t>
      </w:r>
    </w:p>
    <w:p/>
    <w:p/>
    <w:p/>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湖南化工职业技术学院</w:t>
      </w:r>
    </w:p>
    <w:p>
      <w:pPr>
        <w:widowControl/>
        <w:spacing w:line="360" w:lineRule="auto"/>
        <w:jc w:val="center"/>
        <w:rPr>
          <w:rFonts w:ascii="宋体" w:hAnsi="宋体" w:cs="宋体"/>
          <w:b/>
          <w:color w:val="FF0000"/>
          <w:kern w:val="0"/>
          <w:sz w:val="36"/>
          <w:szCs w:val="36"/>
        </w:rPr>
      </w:pPr>
      <w:bookmarkStart w:id="1" w:name="_Hlk160806041"/>
      <w:r>
        <w:rPr>
          <w:rFonts w:hint="eastAsia" w:ascii="宋体" w:hAnsi="宋体" w:cs="宋体"/>
          <w:b/>
          <w:color w:val="FF0000"/>
          <w:kern w:val="0"/>
          <w:sz w:val="36"/>
          <w:szCs w:val="36"/>
        </w:rPr>
        <w:t>2024年度工程造价服务项目</w:t>
      </w:r>
    </w:p>
    <w:bookmarkEnd w:id="1"/>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比选公告</w:t>
      </w:r>
    </w:p>
    <w:p>
      <w:pPr>
        <w:widowControl/>
        <w:spacing w:before="124" w:beforeLines="40" w:after="124" w:afterLines="40" w:line="360" w:lineRule="auto"/>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2024年度工程造价服务项目</w:t>
      </w:r>
      <w:r>
        <w:rPr>
          <w:rFonts w:ascii="宋体" w:hAnsi="宋体" w:cs="宋体"/>
          <w:color w:val="000000"/>
          <w:kern w:val="0"/>
          <w:sz w:val="24"/>
        </w:rPr>
        <w:t>进行招标，现将招投标工作事宜公告如下：</w:t>
      </w:r>
    </w:p>
    <w:p>
      <w:pPr>
        <w:widowControl/>
        <w:numPr>
          <w:ilvl w:val="0"/>
          <w:numId w:val="1"/>
        </w:numPr>
        <w:spacing w:before="124" w:beforeLines="40" w:after="124" w:afterLines="40" w:line="360" w:lineRule="auto"/>
        <w:rPr>
          <w:rFonts w:ascii="宋体" w:hAnsi="宋体" w:cs="宋体"/>
          <w:color w:val="000000"/>
          <w:kern w:val="0"/>
          <w:sz w:val="24"/>
        </w:rPr>
      </w:pPr>
      <w:r>
        <w:rPr>
          <w:rFonts w:ascii="宋体" w:hAnsi="宋体" w:cs="宋体"/>
          <w:b/>
          <w:bCs/>
          <w:color w:val="000000"/>
          <w:kern w:val="0"/>
          <w:sz w:val="24"/>
        </w:rPr>
        <w:t xml:space="preserve"> </w:t>
      </w:r>
      <w:r>
        <w:rPr>
          <w:rFonts w:hint="eastAsia" w:ascii="宋体" w:hAnsi="宋体" w:cs="宋体"/>
          <w:b/>
          <w:bCs/>
          <w:color w:val="000000"/>
          <w:kern w:val="0"/>
          <w:sz w:val="24"/>
        </w:rPr>
        <w:t xml:space="preserve"> 采购项目基本概况</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项目名称：</w:t>
      </w:r>
      <w:bookmarkStart w:id="2" w:name="_Hlk160807207"/>
      <w:r>
        <w:rPr>
          <w:rFonts w:ascii="宋体" w:hAnsi="宋体" w:cs="宋体"/>
          <w:color w:val="000000"/>
          <w:kern w:val="0"/>
          <w:sz w:val="24"/>
        </w:rPr>
        <w:t>湖南</w:t>
      </w:r>
      <w:r>
        <w:rPr>
          <w:rFonts w:hint="eastAsia" w:ascii="宋体" w:hAnsi="宋体" w:cs="宋体"/>
          <w:color w:val="000000"/>
          <w:kern w:val="0"/>
          <w:sz w:val="24"/>
        </w:rPr>
        <w:t>化工职业技术学院2024年度工程造价服务项目</w:t>
      </w:r>
      <w:bookmarkEnd w:id="2"/>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2、采购方式：比选采购</w:t>
      </w:r>
    </w:p>
    <w:p>
      <w:pPr>
        <w:widowControl/>
        <w:spacing w:before="124" w:beforeLines="40" w:after="124" w:afterLines="40" w:line="360" w:lineRule="auto"/>
        <w:ind w:firstLine="480" w:firstLineChars="200"/>
        <w:rPr>
          <w:rFonts w:ascii="宋体" w:hAnsi="宋体" w:cs="宋体"/>
          <w:color w:val="000000"/>
          <w:kern w:val="0"/>
          <w:sz w:val="24"/>
        </w:rPr>
      </w:pPr>
      <w:bookmarkStart w:id="3" w:name="_Hlk144221827"/>
      <w:r>
        <w:rPr>
          <w:rFonts w:hint="eastAsia" w:ascii="宋体" w:hAnsi="宋体" w:cs="宋体"/>
          <w:color w:val="000000"/>
          <w:kern w:val="0"/>
          <w:sz w:val="24"/>
        </w:rPr>
        <w:t>3、采购预算：</w:t>
      </w:r>
      <w:r>
        <w:rPr>
          <w:rFonts w:hint="eastAsia" w:ascii="宋体" w:hAnsi="宋体" w:cs="宋体"/>
          <w:color w:val="auto"/>
          <w:kern w:val="0"/>
          <w:sz w:val="24"/>
          <w:lang w:val="en-US" w:eastAsia="zh-CN"/>
        </w:rPr>
        <w:t>20</w:t>
      </w:r>
      <w:r>
        <w:rPr>
          <w:rFonts w:hint="eastAsia" w:ascii="宋体" w:hAnsi="宋体" w:cs="宋体"/>
          <w:color w:val="auto"/>
          <w:kern w:val="0"/>
          <w:sz w:val="24"/>
        </w:rPr>
        <w:t>万元</w:t>
      </w:r>
      <w:r>
        <w:rPr>
          <w:rFonts w:hint="eastAsia" w:ascii="宋体" w:hAnsi="宋体" w:cs="宋体"/>
          <w:color w:val="000000"/>
          <w:kern w:val="0"/>
          <w:sz w:val="24"/>
        </w:rPr>
        <w:t>（以实际的业务为准）</w:t>
      </w:r>
      <w:bookmarkEnd w:id="3"/>
    </w:p>
    <w:p>
      <w:pPr>
        <w:pStyle w:val="79"/>
        <w:widowControl/>
        <w:numPr>
          <w:ilvl w:val="1"/>
          <w:numId w:val="2"/>
        </w:numPr>
        <w:spacing w:before="124" w:beforeLines="40" w:after="124" w:afterLines="40" w:line="360" w:lineRule="auto"/>
        <w:ind w:firstLineChars="0"/>
        <w:rPr>
          <w:rFonts w:ascii="宋体" w:hAnsi="宋体" w:cs="宋体"/>
          <w:color w:val="000000"/>
          <w:kern w:val="0"/>
          <w:sz w:val="24"/>
        </w:rPr>
      </w:pPr>
      <w:r>
        <w:rPr>
          <w:rFonts w:hint="eastAsia" w:ascii="宋体" w:hAnsi="宋体" w:cs="宋体"/>
          <w:b/>
          <w:bCs/>
          <w:color w:val="000000"/>
          <w:kern w:val="0"/>
          <w:sz w:val="24"/>
        </w:rPr>
        <w:t>资格条件</w:t>
      </w:r>
    </w:p>
    <w:p>
      <w:pPr>
        <w:widowControl/>
        <w:spacing w:line="360" w:lineRule="auto"/>
        <w:ind w:left="284"/>
        <w:rPr>
          <w:rFonts w:ascii="宋体" w:hAnsi="宋体" w:cs="宋体"/>
          <w:color w:val="000000"/>
          <w:kern w:val="0"/>
          <w:sz w:val="24"/>
        </w:rPr>
      </w:pPr>
      <w:bookmarkStart w:id="4" w:name="_Hlk160807244"/>
      <w:r>
        <w:rPr>
          <w:rFonts w:hint="eastAsia" w:ascii="宋体" w:hAnsi="宋体" w:cs="宋体"/>
          <w:color w:val="000000"/>
          <w:kern w:val="0"/>
          <w:sz w:val="24"/>
        </w:rPr>
        <w:t>（一）基本资格条件</w:t>
      </w:r>
    </w:p>
    <w:p>
      <w:pPr>
        <w:pStyle w:val="79"/>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79"/>
        <w:widowControl/>
        <w:numPr>
          <w:ilvl w:val="0"/>
          <w:numId w:val="3"/>
        </w:numPr>
        <w:spacing w:line="360" w:lineRule="auto"/>
        <w:ind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79"/>
        <w:widowControl/>
        <w:numPr>
          <w:ilvl w:val="0"/>
          <w:numId w:val="3"/>
        </w:numPr>
        <w:spacing w:line="360" w:lineRule="auto"/>
        <w:ind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79"/>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79"/>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79"/>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sz w:val="24"/>
          <w:highlight w:val="green"/>
        </w:rPr>
        <w:t>6、已入驻湖南省财政厅政府采购电子卖场证明。</w:t>
      </w:r>
    </w:p>
    <w:p>
      <w:pPr>
        <w:pStyle w:val="79"/>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pStyle w:val="79"/>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、本项目不接受联合体参与投标。</w:t>
      </w:r>
    </w:p>
    <w:p>
      <w:pPr>
        <w:widowControl/>
        <w:spacing w:line="360" w:lineRule="auto"/>
        <w:ind w:left="329"/>
        <w:rPr>
          <w:rFonts w:ascii="宋体" w:hAnsi="宋体" w:cs="宋体"/>
          <w:color w:val="000000"/>
          <w:kern w:val="0"/>
          <w:sz w:val="24"/>
        </w:rPr>
      </w:pPr>
      <w:r>
        <w:rPr>
          <w:rFonts w:hint="eastAsia" w:ascii="宋体" w:hAnsi="宋体" w:cs="宋体"/>
          <w:color w:val="000000"/>
          <w:kern w:val="0"/>
          <w:sz w:val="24"/>
        </w:rPr>
        <w:t>（二）特定资格条件</w:t>
      </w:r>
      <w:bookmarkStart w:id="5" w:name="_Hlk160968648"/>
    </w:p>
    <w:p>
      <w:pPr>
        <w:widowControl/>
        <w:spacing w:line="360" w:lineRule="auto"/>
        <w:ind w:left="329"/>
        <w:rPr>
          <w:rFonts w:ascii="宋体" w:hAnsi="宋体" w:cs="宋体"/>
          <w:color w:val="FF0000"/>
          <w:kern w:val="0"/>
          <w:sz w:val="24"/>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kern w:val="0"/>
          <w:sz w:val="24"/>
        </w:rPr>
        <w:t>项目负责人具有全国一级注册造价工程师证书。</w:t>
      </w:r>
    </w:p>
    <w:bookmarkEnd w:id="4"/>
    <w:bookmarkEnd w:id="5"/>
    <w:p>
      <w:pPr>
        <w:widowControl/>
        <w:spacing w:before="156" w:beforeLines="50" w:after="156" w:afterLines="50" w:line="440" w:lineRule="exact"/>
        <w:jc w:val="left"/>
        <w:rPr>
          <w:rFonts w:ascii="宋体" w:hAnsi="宋体" w:cs="宋体"/>
          <w:b/>
          <w:bCs/>
          <w:color w:val="000000"/>
          <w:kern w:val="0"/>
          <w:sz w:val="24"/>
        </w:rPr>
      </w:pPr>
      <w:r>
        <w:rPr>
          <w:rFonts w:hint="eastAsia" w:ascii="宋体" w:hAnsi="宋体" w:cs="宋体"/>
          <w:b/>
          <w:bCs/>
          <w:color w:val="000000"/>
          <w:kern w:val="0"/>
          <w:sz w:val="24"/>
        </w:rPr>
        <w:t>三、报名及获取比选文件的期限和方式</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1、报名时间：2024年</w:t>
      </w:r>
      <w:r>
        <w:rPr>
          <w:rFonts w:hint="eastAsia" w:ascii="宋体" w:hAnsi="宋体" w:cs="宋体"/>
          <w:color w:val="auto"/>
          <w:kern w:val="0"/>
          <w:sz w:val="24"/>
        </w:rPr>
        <w:t>3月29日至2024年4月</w:t>
      </w:r>
      <w:r>
        <w:rPr>
          <w:rFonts w:hint="eastAsia" w:ascii="宋体" w:hAnsi="宋体" w:cs="宋体"/>
          <w:color w:val="auto"/>
          <w:kern w:val="0"/>
          <w:sz w:val="24"/>
          <w:lang w:val="en-US" w:eastAsia="zh-CN"/>
        </w:rPr>
        <w:t>7</w:t>
      </w:r>
      <w:r>
        <w:rPr>
          <w:rFonts w:hint="eastAsia" w:ascii="宋体" w:hAnsi="宋体" w:cs="宋体"/>
          <w:color w:val="auto"/>
          <w:kern w:val="0"/>
          <w:sz w:val="24"/>
        </w:rPr>
        <w:t>日1</w:t>
      </w:r>
      <w:r>
        <w:rPr>
          <w:rFonts w:hint="eastAsia" w:ascii="宋体" w:hAnsi="宋体" w:cs="宋体"/>
          <w:color w:val="000000"/>
          <w:kern w:val="0"/>
          <w:sz w:val="24"/>
        </w:rPr>
        <w:t>7：00止；</w:t>
      </w:r>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23"/>
          <w:rFonts w:hint="eastAsia" w:ascii="宋体" w:hAnsi="宋体" w:cs="宋体"/>
          <w:color w:val="auto"/>
          <w:kern w:val="0"/>
          <w:sz w:val="24"/>
        </w:rPr>
        <w:t>zcglccg@126.com</w:t>
      </w:r>
      <w:r>
        <w:rPr>
          <w:rStyle w:val="23"/>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pPr>
        <w:widowControl/>
        <w:spacing w:line="440" w:lineRule="exact"/>
        <w:ind w:left="479" w:leftChars="2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四、开标信息</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1、响应文件递交开始时间：2024年4月</w:t>
      </w:r>
      <w:r>
        <w:rPr>
          <w:rFonts w:hint="eastAsia" w:ascii="宋体" w:hAnsi="宋体" w:cs="宋体"/>
          <w:color w:val="000000"/>
          <w:kern w:val="0"/>
          <w:sz w:val="24"/>
          <w:lang w:val="en-US" w:eastAsia="zh-CN"/>
        </w:rPr>
        <w:t>9</w:t>
      </w:r>
      <w:r>
        <w:rPr>
          <w:rFonts w:hint="eastAsia" w:ascii="宋体" w:hAnsi="宋体" w:cs="宋体"/>
          <w:color w:val="000000"/>
          <w:kern w:val="0"/>
          <w:sz w:val="24"/>
        </w:rPr>
        <w:t>日北京时间9:00；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2、响应文件递交截止时间（开标时间）：2024年4月</w:t>
      </w:r>
      <w:r>
        <w:rPr>
          <w:rFonts w:hint="eastAsia" w:ascii="宋体" w:hAnsi="宋体" w:cs="宋体"/>
          <w:color w:val="000000"/>
          <w:kern w:val="0"/>
          <w:sz w:val="24"/>
          <w:lang w:val="en-US" w:eastAsia="zh-CN"/>
        </w:rPr>
        <w:t>9</w:t>
      </w:r>
      <w:r>
        <w:rPr>
          <w:rFonts w:hint="eastAsia" w:ascii="宋体" w:hAnsi="宋体" w:cs="宋体"/>
          <w:color w:val="000000"/>
          <w:kern w:val="0"/>
          <w:sz w:val="24"/>
        </w:rPr>
        <w:t>日北京时间9:00；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3、开标地点：湖南化工职业技术学院行政楼109室。</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五、发布公告的媒介</w:t>
      </w:r>
    </w:p>
    <w:p>
      <w:pPr>
        <w:widowControl/>
        <w:spacing w:line="440" w:lineRule="exact"/>
        <w:ind w:left="479" w:leftChars="228" w:firstLine="480" w:firstLineChars="200"/>
        <w:rPr>
          <w:rFonts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六、联系方式</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采购人：湖南化工职业技术学院</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联系人：赵老师</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电 话：0731-22537501</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  址：湖南省株洲市云龙区职教城                           </w:t>
      </w:r>
    </w:p>
    <w:p>
      <w:pPr>
        <w:pStyle w:val="4"/>
        <w:ind w:firstLine="480"/>
        <w:rPr>
          <w:color w:val="000000"/>
        </w:rPr>
      </w:pPr>
    </w:p>
    <w:p>
      <w:pPr>
        <w:pStyle w:val="5"/>
        <w:rPr>
          <w:color w:val="000000"/>
        </w:rPr>
      </w:pPr>
    </w:p>
    <w:p>
      <w:pPr>
        <w:pStyle w:val="5"/>
        <w:rPr>
          <w:color w:val="000000"/>
        </w:rPr>
      </w:pPr>
    </w:p>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pPr>
        <w:widowControl/>
        <w:spacing w:line="440" w:lineRule="exact"/>
        <w:ind w:firstLine="5280" w:firstLineChars="2200"/>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pPr>
        <w:widowControl/>
        <w:spacing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一、说明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1、适用范围：本招标书仅适用于本次招标。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3、招标人：系指湖南化工职业技术学院。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4、投标人：系指向招标人提交投标文件的合格投标人。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5、服务：系指招标文件规定卖方须承担的相关工作。</w:t>
      </w:r>
    </w:p>
    <w:p>
      <w:pPr>
        <w:widowControl/>
        <w:spacing w:before="156" w:beforeLines="50"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二、比选文件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1、投标比选文件的编制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2、比选文件的组成</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（2）投标书</w:t>
      </w:r>
    </w:p>
    <w:p>
      <w:pPr>
        <w:pStyle w:val="7"/>
        <w:spacing w:after="0" w:line="360" w:lineRule="auto"/>
        <w:ind w:firstLine="480" w:firstLineChars="200"/>
        <w:jc w:val="left"/>
      </w:pPr>
      <w:r>
        <w:rPr>
          <w:rFonts w:hint="eastAsia" w:ascii="宋体" w:hAnsi="宋体" w:cs="宋体"/>
          <w:color w:val="000000"/>
          <w:kern w:val="0"/>
          <w:sz w:val="24"/>
        </w:rPr>
        <w:t>（3）开标一览表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（4）服务方案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（5）服务承诺书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（7）技术参数响应及实施方案</w:t>
      </w:r>
    </w:p>
    <w:p>
      <w:pPr>
        <w:pStyle w:val="16"/>
        <w:tabs>
          <w:tab w:val="left" w:pos="3420"/>
        </w:tabs>
        <w:spacing w:after="0" w:line="360" w:lineRule="auto"/>
        <w:ind w:left="0" w:leftChars="0" w:firstLine="480"/>
        <w:jc w:val="left"/>
        <w:rPr>
          <w:rFonts w:ascii="宋体" w:hAnsi="宋体" w:cs="宋体"/>
          <w:kern w:val="0"/>
          <w:sz w:val="24"/>
        </w:rPr>
      </w:pPr>
      <w:r>
        <w:rPr>
          <w:rFonts w:hint="eastAsia" w:ascii="宋体" w:hAnsi="宋体" w:cs="宋体"/>
          <w:kern w:val="0"/>
          <w:sz w:val="24"/>
        </w:rPr>
        <w:t>（8）类似业绩</w:t>
      </w:r>
    </w:p>
    <w:p>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before="156" w:beforeLines="50" w:after="156" w:afterLines="50"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三、投标</w:t>
      </w:r>
    </w:p>
    <w:p>
      <w:pPr>
        <w:widowControl/>
        <w:spacing w:before="156" w:beforeLines="50" w:after="156" w:afterLines="50"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四、开标和评标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招标人有权在签订合同时调整采购数量。</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五、中标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1、中标结果公布</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（1）若评标顺利，将当场公布评标结果。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（2）若不能立即评出结果，将在1天内通知中标单位。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2、中标人出现下列行为之一者，其中标资格将被取消：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（1）中标人与其他投标人串通进行投标的；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（2）中标人不能按中标要求签订合同的；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（4）中标人在规定时间内不与招标人签订合同的；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（5）中标人转让中标项目的；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pPr>
        <w:widowControl/>
        <w:spacing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六、签订合同</w:t>
      </w:r>
    </w:p>
    <w:p>
      <w:pPr>
        <w:widowControl/>
        <w:spacing w:line="360" w:lineRule="auto"/>
        <w:ind w:firstLine="480" w:firstLineChars="200"/>
        <w:jc w:val="left"/>
        <w:rPr>
          <w:rFonts w:ascii="宋体" w:hAnsi="宋体" w:cs="宋体"/>
          <w:kern w:val="0"/>
          <w:sz w:val="24"/>
        </w:rPr>
      </w:pPr>
      <w:r>
        <w:rPr>
          <w:rFonts w:hint="eastAsia" w:ascii="宋体" w:hAnsi="宋体" w:cs="宋体"/>
          <w:color w:val="000000"/>
          <w:kern w:val="0"/>
          <w:sz w:val="24"/>
        </w:rPr>
        <w:t>1</w:t>
      </w:r>
      <w:r>
        <w:rPr>
          <w:rFonts w:hint="eastAsia" w:ascii="宋体" w:hAnsi="宋体" w:cs="宋体"/>
          <w:kern w:val="0"/>
          <w:sz w:val="24"/>
        </w:rPr>
        <w:t>、</w:t>
      </w:r>
      <w:r>
        <w:rPr>
          <w:rFonts w:hint="eastAsia" w:ascii="宋体" w:hAnsi="宋体" w:cs="宋体"/>
          <w:color w:val="000000"/>
          <w:kern w:val="0"/>
          <w:sz w:val="24"/>
        </w:rPr>
        <w:t>工程设计服务</w:t>
      </w:r>
      <w:r>
        <w:rPr>
          <w:rFonts w:hint="eastAsia" w:ascii="宋体" w:hAnsi="宋体" w:cs="宋体"/>
          <w:kern w:val="0"/>
          <w:sz w:val="24"/>
        </w:rPr>
        <w:t>机构选取不超过</w:t>
      </w:r>
      <w:r>
        <w:rPr>
          <w:rFonts w:ascii="宋体" w:hAnsi="宋体" w:cs="宋体"/>
          <w:kern w:val="0"/>
          <w:sz w:val="24"/>
        </w:rPr>
        <w:t>2</w:t>
      </w:r>
      <w:r>
        <w:rPr>
          <w:rFonts w:hint="eastAsia" w:ascii="宋体" w:hAnsi="宋体" w:cs="宋体"/>
          <w:kern w:val="0"/>
          <w:sz w:val="24"/>
        </w:rPr>
        <w:t>家中标单位（若是实际应标单位少于4家，采购人有权减少入围单位数量）。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2、双方共同签订《</w:t>
      </w:r>
      <w:bookmarkStart w:id="6" w:name="_Hlk160810094"/>
      <w:r>
        <w:rPr>
          <w:rFonts w:hint="eastAsia" w:ascii="宋体" w:hAnsi="宋体" w:cs="宋体"/>
          <w:color w:val="000000"/>
          <w:kern w:val="0"/>
          <w:sz w:val="24"/>
        </w:rPr>
        <w:t>湖南化工职业技术学院2024年工程造价服务项目</w:t>
      </w:r>
      <w:bookmarkEnd w:id="6"/>
      <w:r>
        <w:rPr>
          <w:rFonts w:hint="eastAsia" w:ascii="宋体" w:hAnsi="宋体" w:cs="宋体"/>
          <w:color w:val="000000"/>
          <w:kern w:val="0"/>
          <w:sz w:val="24"/>
        </w:rPr>
        <w:t>合同书》。</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（一）基本资格条件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具有良好的商业信誉和健全的财务会计制度；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具有履行合同所必需的设备和专业技术服务能力；</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6、已入驻湖南省财政厅政府采购电子卖场证明。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、本项目不接受联合体参与投标。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（二）特定资格条件</w:t>
      </w:r>
    </w:p>
    <w:p>
      <w:pPr>
        <w:widowControl/>
        <w:spacing w:line="360" w:lineRule="auto"/>
        <w:ind w:left="329" w:firstLine="240" w:firstLineChars="100"/>
        <w:rPr>
          <w:rFonts w:ascii="宋体" w:hAnsi="宋体" w:cs="宋体"/>
          <w:color w:val="FF0000"/>
          <w:kern w:val="0"/>
          <w:sz w:val="24"/>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kern w:val="0"/>
          <w:sz w:val="24"/>
        </w:rPr>
        <w:t>项目负责人具有全国一级注册造价工程师证书。</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八、项目需求</w:t>
      </w:r>
    </w:p>
    <w:p>
      <w:pPr>
        <w:widowControl/>
        <w:spacing w:line="360" w:lineRule="auto"/>
        <w:ind w:firstLine="480" w:firstLineChars="200"/>
        <w:jc w:val="left"/>
        <w:rPr>
          <w:rFonts w:ascii="宋体" w:hAnsi="宋体" w:cs="宋体"/>
          <w:b/>
          <w:color w:val="000000"/>
          <w:kern w:val="0"/>
          <w:sz w:val="24"/>
        </w:rPr>
      </w:pPr>
      <w:r>
        <w:rPr>
          <w:rFonts w:hint="eastAsia" w:ascii="宋体" w:hAnsi="宋体" w:cs="宋体"/>
          <w:bCs/>
          <w:color w:val="000000"/>
          <w:kern w:val="0"/>
          <w:sz w:val="24"/>
        </w:rPr>
        <w:t>（一）服务内容</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主要包括但不限于为我校基本建设项目进行投资估算、工程概算、工程预决算、工程结算、竣工结算、全过程造价咨询及采购需求单位安排的其他造价咨询工作，以及政府相关职能部门和相关业务单位协调沟通工作等。</w:t>
      </w:r>
    </w:p>
    <w:p>
      <w:pPr>
        <w:spacing w:line="360" w:lineRule="auto"/>
        <w:ind w:firstLine="480" w:firstLineChars="200"/>
        <w:rPr>
          <w:rFonts w:ascii="宋体" w:hAnsi="宋体" w:cs="宋体"/>
          <w:bCs/>
          <w:sz w:val="24"/>
        </w:rPr>
      </w:pPr>
      <w:r>
        <w:rPr>
          <w:rFonts w:hint="eastAsia" w:ascii="宋体" w:hAnsi="宋体" w:cs="宋体"/>
          <w:bCs/>
          <w:kern w:val="0"/>
          <w:sz w:val="24"/>
        </w:rPr>
        <w:t>（二）</w:t>
      </w:r>
      <w:r>
        <w:rPr>
          <w:rFonts w:hint="eastAsia" w:ascii="宋体" w:hAnsi="宋体" w:cs="宋体"/>
          <w:bCs/>
          <w:sz w:val="24"/>
        </w:rPr>
        <w:t>服务要求</w:t>
      </w:r>
    </w:p>
    <w:p>
      <w:pPr>
        <w:spacing w:line="360" w:lineRule="auto"/>
        <w:ind w:firstLine="420" w:firstLineChars="200"/>
        <w:rPr>
          <w:rFonts w:ascii="宋体" w:hAnsi="宋体" w:cs="宋体"/>
          <w:sz w:val="24"/>
        </w:rPr>
      </w:pPr>
      <w:r>
        <w:rPr>
          <w:rFonts w:hint="eastAsia" w:hAnsi="宋体" w:cs="宋体"/>
        </w:rPr>
        <w:t>1、</w:t>
      </w:r>
      <w:r>
        <w:rPr>
          <w:rFonts w:hint="eastAsia" w:ascii="宋体" w:hAnsi="宋体" w:cs="宋体"/>
          <w:sz w:val="24"/>
        </w:rPr>
        <w:t>供应商应严格执行国家有关法律、法规、规章制度和相关司法解释；国务院建设行政主管部门以及各省、自治区、直辖市和有关部门发布的工程造价计价标准、计价办法、有关规定及相关解释，遵循客观、准确、科学、合理、公平、公正的原则开展造价咨询工作。</w:t>
      </w:r>
    </w:p>
    <w:p>
      <w:pPr>
        <w:spacing w:line="360" w:lineRule="auto"/>
        <w:ind w:firstLine="480" w:firstLineChars="200"/>
        <w:rPr>
          <w:rFonts w:ascii="宋体" w:hAnsi="宋体" w:cs="宋体"/>
          <w:sz w:val="24"/>
        </w:rPr>
      </w:pPr>
      <w:r>
        <w:rPr>
          <w:rFonts w:hint="eastAsia" w:ascii="宋体" w:hAnsi="宋体" w:cs="宋体"/>
          <w:sz w:val="24"/>
        </w:rPr>
        <w:t>2、供应商需配备具备资格条件的专业的技术力量和优质的服务团队。</w:t>
      </w:r>
    </w:p>
    <w:p>
      <w:pPr>
        <w:spacing w:line="360" w:lineRule="auto"/>
        <w:ind w:firstLine="480" w:firstLineChars="200"/>
        <w:rPr>
          <w:rFonts w:ascii="宋体" w:hAnsi="宋体" w:cs="宋体"/>
          <w:sz w:val="24"/>
        </w:rPr>
      </w:pPr>
      <w:r>
        <w:rPr>
          <w:rFonts w:hint="eastAsia" w:ascii="宋体" w:hAnsi="宋体" w:cs="宋体"/>
          <w:sz w:val="24"/>
        </w:rPr>
        <w:t>3、供应商应按照采购需求单位的要求，制定严格的质量保证措施，真实、准确、科学、合理、完整的反映和记录项目的造价咨询工作，并对咨询成果文件的真实性、准确性、合法性负责，供应商内控质量保证措施应设有三级复核制度。</w:t>
      </w:r>
    </w:p>
    <w:p>
      <w:pPr>
        <w:spacing w:line="360" w:lineRule="auto"/>
        <w:ind w:firstLine="480" w:firstLineChars="200"/>
        <w:rPr>
          <w:rFonts w:ascii="宋体" w:hAnsi="宋体" w:cs="宋体"/>
          <w:sz w:val="24"/>
        </w:rPr>
      </w:pPr>
      <w:r>
        <w:rPr>
          <w:rFonts w:hint="eastAsia" w:ascii="宋体" w:hAnsi="宋体" w:cs="宋体"/>
          <w:sz w:val="24"/>
        </w:rPr>
        <w:t>4、供应商未经采购需求单位的批准，不得以任何形式向任何单位或个人披露与项目有关的信息，更不得对外提供、泄露或公开造价咨询情况。</w:t>
      </w:r>
    </w:p>
    <w:p>
      <w:pPr>
        <w:spacing w:line="360" w:lineRule="auto"/>
        <w:ind w:firstLine="480" w:firstLineChars="200"/>
        <w:rPr>
          <w:rFonts w:ascii="宋体" w:hAnsi="宋体" w:cs="宋体"/>
          <w:sz w:val="24"/>
        </w:rPr>
      </w:pPr>
      <w:r>
        <w:rPr>
          <w:rFonts w:hint="eastAsia" w:ascii="宋体" w:hAnsi="宋体" w:cs="宋体"/>
          <w:sz w:val="24"/>
        </w:rPr>
        <w:t>5、供应商应严格遵守廉政纪律，严禁利用受托权利为单位和个人谋取不正当利益。</w:t>
      </w:r>
    </w:p>
    <w:p>
      <w:pPr>
        <w:spacing w:line="360" w:lineRule="auto"/>
        <w:ind w:firstLine="480" w:firstLineChars="200"/>
        <w:rPr>
          <w:rFonts w:ascii="宋体" w:hAnsi="宋体" w:cs="宋体"/>
          <w:sz w:val="24"/>
        </w:rPr>
      </w:pPr>
      <w:r>
        <w:rPr>
          <w:rFonts w:hint="eastAsia" w:ascii="宋体" w:hAnsi="宋体" w:cs="宋体"/>
          <w:sz w:val="24"/>
        </w:rPr>
        <w:t>6、咨询成果质量要求（报告准确率要求）：预算编制误差率应控制在±5%以内（含±5%），预算审核误差率应控制在±3%以内（含±3%）；老项目结算编制误差率应控制在±5%以内（含±5%），结算审核误差率应控制在±3%以内（含±3%）；新项目结算编制和对审误差率应控制在±3%以内（含±3%）。老项目主要指项目施工招标文件或合同已经明确结算流程的项目。</w:t>
      </w:r>
    </w:p>
    <w:p>
      <w:pPr>
        <w:spacing w:line="360" w:lineRule="auto"/>
        <w:ind w:firstLine="480" w:firstLineChars="200"/>
        <w:rPr>
          <w:rFonts w:ascii="宋体" w:hAnsi="宋体" w:cs="宋体"/>
          <w:sz w:val="24"/>
        </w:rPr>
      </w:pPr>
      <w:r>
        <w:rPr>
          <w:rFonts w:hint="eastAsia" w:ascii="宋体" w:hAnsi="宋体" w:cs="宋体"/>
          <w:sz w:val="24"/>
        </w:rPr>
        <w:t xml:space="preserve">7、咨询报告及时性要求（报告时间要求）：①工程预算及审核 ：500 (含)万元以内的 7个工作日，500-2000 (含) 万元的14个工作日， 2000-5000 (含) 万元的16 个工作日，5000-10000 万元的24个工作日，1亿元以上32个工作日。②工程结算评审：500 (含) 万元以内的20 个工作日，500-2000 (含) 万元的 30 个工作日， 2000-5000 (含) 万元的45 个工作日， 5000-10000 万元的50个工作日，1亿元以上80个工作日。 </w:t>
      </w:r>
      <w:r>
        <w:rPr>
          <w:rFonts w:hint="eastAsia" w:ascii="宋体" w:hAnsi="宋体" w:cs="宋体"/>
          <w:sz w:val="24"/>
        </w:rPr>
        <w:fldChar w:fldCharType="begin"/>
      </w:r>
      <w:r>
        <w:rPr>
          <w:rFonts w:hint="eastAsia" w:ascii="宋体" w:hAnsi="宋体" w:cs="宋体"/>
          <w:sz w:val="24"/>
        </w:rPr>
        <w:instrText xml:space="preserve"> = 3 \* GB3 \* MERGEFORMAT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供应商及其造价咨询服务项目组成员，在接到采购单位任务分派需求通知后0.5小时内响应，如有需要2小时内（紧急情况1个小时内）到达湖南化工职业技术学院指定的位置；特殊情况以具体项目建设工程造价咨询合同或委托通知单为准；因采购需求单位提供资料顺延则工作时间予以顺延。</w:t>
      </w:r>
    </w:p>
    <w:p>
      <w:pPr>
        <w:spacing w:line="360" w:lineRule="auto"/>
        <w:ind w:firstLine="480" w:firstLineChars="200"/>
        <w:rPr>
          <w:rFonts w:ascii="宋体" w:hAnsi="宋体" w:cs="宋体"/>
          <w:sz w:val="24"/>
        </w:rPr>
      </w:pPr>
      <w:r>
        <w:rPr>
          <w:rFonts w:hint="eastAsia" w:ascii="宋体" w:hAnsi="宋体" w:cs="宋体"/>
          <w:sz w:val="24"/>
        </w:rPr>
        <w:t>8、由于供应商原因未按期完成造价咨询工作的，每延期1天，将扣除相应服务费的1%，应供应商原因延期15天以上的，采购需求单位可不支付咨询服务费。</w:t>
      </w:r>
    </w:p>
    <w:p>
      <w:pPr>
        <w:spacing w:line="360" w:lineRule="auto"/>
        <w:ind w:firstLine="480" w:firstLineChars="200"/>
        <w:rPr>
          <w:rFonts w:ascii="宋体" w:hAnsi="宋体" w:cs="宋体"/>
          <w:sz w:val="24"/>
        </w:rPr>
      </w:pPr>
      <w:r>
        <w:rPr>
          <w:rFonts w:hint="eastAsia" w:ascii="宋体" w:hAnsi="宋体" w:cs="宋体"/>
          <w:sz w:val="24"/>
        </w:rPr>
        <w:t>9、供应商将被列入“黑名单”的补充规定。供应商在预、结算编制或审核工作中，因供应商原因导致供应商当年累计误差率3次超过±10%、1次误差率超过±15%或造成重大损失、超批复概算5%或被政府部门追究责任等情况的，该供应商将被列入“黑名单”，一年内禁止承担公司造价咨询业务。</w:t>
      </w:r>
    </w:p>
    <w:p>
      <w:pPr>
        <w:spacing w:line="360" w:lineRule="auto"/>
        <w:ind w:firstLine="480" w:firstLineChars="200"/>
        <w:rPr>
          <w:rFonts w:ascii="宋体" w:hAnsi="宋体" w:cs="宋体"/>
          <w:sz w:val="24"/>
        </w:rPr>
      </w:pPr>
      <w:r>
        <w:rPr>
          <w:rFonts w:hint="eastAsia" w:ascii="宋体" w:hAnsi="宋体" w:cs="宋体"/>
          <w:sz w:val="24"/>
        </w:rPr>
        <w:t>10、需经采购需求单位复审和政府相关职能部门的审查的，供应商要保证其成果文件的真实、准确；报政府相关职能部门的，应与其做好充分的沟通和协调工作。</w:t>
      </w:r>
    </w:p>
    <w:p>
      <w:pPr>
        <w:pStyle w:val="2"/>
        <w:ind w:firstLine="480" w:firstLineChars="200"/>
        <w:jc w:val="both"/>
        <w:rPr>
          <w:rFonts w:ascii="宋体" w:hAnsi="宋体" w:cs="宋体"/>
          <w:b w:val="0"/>
          <w:bCs w:val="0"/>
          <w:szCs w:val="24"/>
        </w:rPr>
      </w:pPr>
      <w:r>
        <w:rPr>
          <w:rFonts w:hint="eastAsia" w:ascii="宋体" w:hAnsi="宋体" w:cs="宋体"/>
          <w:b w:val="0"/>
          <w:bCs w:val="0"/>
        </w:rPr>
        <w:t>（三）</w:t>
      </w:r>
      <w:r>
        <w:rPr>
          <w:rFonts w:hint="eastAsia" w:ascii="宋体" w:hAnsi="宋体" w:cs="宋体"/>
          <w:b w:val="0"/>
          <w:bCs w:val="0"/>
          <w:szCs w:val="24"/>
        </w:rPr>
        <w:t>项目组人员要求</w:t>
      </w:r>
    </w:p>
    <w:p>
      <w:pPr>
        <w:spacing w:line="360" w:lineRule="auto"/>
        <w:ind w:firstLine="480" w:firstLineChars="200"/>
        <w:rPr>
          <w:rFonts w:ascii="宋体" w:hAnsi="宋体" w:cs="宋体"/>
          <w:sz w:val="24"/>
        </w:rPr>
      </w:pPr>
      <w:r>
        <w:rPr>
          <w:rFonts w:hint="eastAsia" w:ascii="宋体" w:hAnsi="宋体" w:cs="宋体"/>
          <w:sz w:val="24"/>
        </w:rPr>
        <w:t>1、项目负责人要求：应由全国一级注册造价工程师担任。</w:t>
      </w:r>
    </w:p>
    <w:p>
      <w:pPr>
        <w:spacing w:line="360" w:lineRule="auto"/>
        <w:ind w:firstLine="480" w:firstLineChars="200"/>
        <w:rPr>
          <w:rFonts w:ascii="宋体" w:hAnsi="宋体" w:cs="宋体"/>
          <w:b/>
          <w:color w:val="FF0000"/>
          <w:sz w:val="24"/>
        </w:rPr>
      </w:pPr>
      <w:r>
        <w:rPr>
          <w:rFonts w:hint="eastAsia" w:ascii="宋体" w:hAnsi="宋体" w:cs="宋体"/>
          <w:sz w:val="24"/>
        </w:rPr>
        <w:t>2、项目组成员要求：主要应由全国注册造价工程师或全国一级注册造价工程师和二级注册造价工程师组成，专业分土建、安装，供应商应根据采购人项目的具体情况合理配备一、二级注册造价工程师；项目组成员应为工作经验丰富，熟悉政府各职能部门规章制度，具有和政府政府各职能部门沟通的能力和水平。</w:t>
      </w:r>
    </w:p>
    <w:p>
      <w:pPr>
        <w:pStyle w:val="2"/>
        <w:ind w:firstLine="480" w:firstLineChars="200"/>
        <w:jc w:val="both"/>
        <w:rPr>
          <w:rFonts w:ascii="宋体" w:hAnsi="宋体" w:cs="宋体"/>
          <w:b w:val="0"/>
          <w:bCs w:val="0"/>
          <w:szCs w:val="24"/>
        </w:rPr>
      </w:pPr>
      <w:r>
        <w:rPr>
          <w:rFonts w:hint="eastAsia" w:ascii="宋体" w:hAnsi="宋体" w:cs="宋体"/>
          <w:b w:val="0"/>
          <w:bCs w:val="0"/>
          <w:color w:val="000000"/>
          <w:kern w:val="0"/>
        </w:rPr>
        <w:t>（四）</w:t>
      </w:r>
      <w:r>
        <w:rPr>
          <w:rStyle w:val="90"/>
          <w:rFonts w:hint="eastAsia" w:ascii="宋体" w:hAnsi="宋体" w:cs="宋体"/>
          <w:b w:val="0"/>
          <w:bCs w:val="0"/>
          <w:color w:val="auto"/>
          <w:szCs w:val="24"/>
          <w:u w:val="none"/>
        </w:rPr>
        <w:t>造价咨询费具体计算方法</w:t>
      </w:r>
    </w:p>
    <w:p>
      <w:pPr>
        <w:spacing w:line="360" w:lineRule="auto"/>
        <w:ind w:firstLine="480" w:firstLineChars="200"/>
        <w:rPr>
          <w:rStyle w:val="90"/>
          <w:rFonts w:ascii="宋体" w:hAnsi="宋体" w:cs="宋体"/>
          <w:color w:val="auto"/>
          <w:sz w:val="24"/>
          <w:u w:val="none"/>
        </w:rPr>
      </w:pPr>
      <w:r>
        <w:rPr>
          <w:rStyle w:val="90"/>
          <w:rFonts w:hint="eastAsia" w:ascii="宋体" w:hAnsi="宋体" w:cs="宋体"/>
          <w:color w:val="auto"/>
          <w:sz w:val="24"/>
          <w:u w:val="none"/>
        </w:rPr>
        <w:t>造价咨询机构以湘建价协[2016]25号文件规定收费标准为基础，下浮的优惠率</w:t>
      </w:r>
      <w:r>
        <w:rPr>
          <w:rStyle w:val="90"/>
          <w:rFonts w:hint="eastAsia" w:ascii="宋体" w:hAnsi="宋体" w:cs="宋体"/>
          <w:color w:val="auto"/>
          <w:sz w:val="24"/>
        </w:rPr>
        <w:t xml:space="preserve">    </w:t>
      </w:r>
      <w:r>
        <w:rPr>
          <w:rStyle w:val="90"/>
          <w:rFonts w:hint="eastAsia" w:ascii="宋体" w:hAnsi="宋体" w:cs="宋体"/>
          <w:color w:val="auto"/>
          <w:sz w:val="24"/>
          <w:u w:val="none"/>
        </w:rPr>
        <w:t>%进行自主报价。</w:t>
      </w:r>
      <w:r>
        <w:rPr>
          <w:rStyle w:val="90"/>
          <w:rFonts w:hint="eastAsia" w:ascii="宋体" w:hAnsi="宋体" w:cs="宋体"/>
          <w:color w:val="auto"/>
          <w:sz w:val="24"/>
          <w:highlight w:val="green"/>
          <w:u w:val="none"/>
        </w:rPr>
        <w:t>（最高限价：优惠率不低于标准价格的20%，即最高价不得高于标准价格的80%，</w:t>
      </w:r>
      <w:r>
        <w:rPr>
          <w:rStyle w:val="90"/>
          <w:rFonts w:hint="eastAsia" w:ascii="宋体" w:hAnsi="宋体" w:cs="宋体"/>
          <w:b/>
          <w:bCs/>
          <w:color w:val="auto"/>
          <w:sz w:val="24"/>
          <w:highlight w:val="green"/>
          <w:u w:val="none"/>
        </w:rPr>
        <w:t>本次报价是按照优惠率进行报价。</w:t>
      </w:r>
      <w:r>
        <w:rPr>
          <w:rStyle w:val="90"/>
          <w:rFonts w:hint="eastAsia" w:ascii="宋体" w:hAnsi="宋体" w:cs="宋体"/>
          <w:color w:val="auto"/>
          <w:sz w:val="24"/>
          <w:highlight w:val="green"/>
          <w:u w:val="none"/>
        </w:rPr>
        <w:t>）</w:t>
      </w:r>
    </w:p>
    <w:p>
      <w:pPr>
        <w:adjustRightInd w:val="0"/>
        <w:snapToGrid w:val="0"/>
        <w:spacing w:before="156" w:beforeLines="50" w:line="360" w:lineRule="auto"/>
        <w:ind w:firstLine="482" w:firstLineChars="200"/>
        <w:rPr>
          <w:rFonts w:hint="eastAsia" w:ascii="宋体" w:hAnsi="宋体" w:cs="宋体" w:eastAsiaTheme="minorEastAsia"/>
          <w:b/>
          <w:bCs/>
          <w:color w:val="FF0000"/>
          <w:kern w:val="0"/>
          <w:sz w:val="24"/>
        </w:rPr>
      </w:pPr>
      <w:r>
        <w:rPr>
          <w:rStyle w:val="90"/>
          <w:rFonts w:hint="eastAsia" w:ascii="宋体" w:hAnsi="宋体" w:cs="宋体"/>
          <w:b/>
          <w:bCs/>
          <w:color w:val="auto"/>
          <w:sz w:val="24"/>
          <w:u w:val="none"/>
        </w:rPr>
        <w:t>说明：</w:t>
      </w:r>
      <w:r>
        <w:rPr>
          <w:rStyle w:val="90"/>
          <w:rFonts w:hint="eastAsia" w:ascii="宋体" w:hAnsi="宋体" w:cs="宋体"/>
          <w:b/>
          <w:bCs/>
          <w:color w:val="auto"/>
          <w:sz w:val="24"/>
          <w:highlight w:val="green"/>
          <w:u w:val="none"/>
        </w:rPr>
        <w:t>造价咨询费最终具体计算方法（结算价格）：造价咨询费＝按湘建价协[2016]25号文件规定收费标准计算的计费结果×（1-投标报价优惠率）×（1-二次竞价洽谈优惠率），其中造价咨询费的计费基数为采购需求单位或上级主管单位最终审定的金额。</w:t>
      </w:r>
      <w:r>
        <w:rPr>
          <w:rStyle w:val="90"/>
          <w:rFonts w:hint="eastAsia" w:ascii="宋体" w:hAnsi="宋体" w:cs="宋体"/>
          <w:b/>
          <w:bCs/>
          <w:color w:val="FF0000"/>
          <w:sz w:val="24"/>
          <w:highlight w:val="green"/>
          <w:u w:val="none"/>
        </w:rPr>
        <w:t>其中二次竞价洽谈是合作期间针对具体项目的二次报价（报价的基础不得高出投标报价），本次招标中不含此项报价。</w:t>
      </w:r>
    </w:p>
    <w:p>
      <w:pPr>
        <w:spacing w:before="60" w:after="80" w:line="360" w:lineRule="auto"/>
        <w:ind w:firstLine="480" w:firstLineChars="200"/>
        <w:rPr>
          <w:rFonts w:ascii="宋体" w:hAnsi="宋体" w:cs="宋体"/>
          <w:bCs/>
          <w:color w:val="000000"/>
          <w:sz w:val="24"/>
        </w:rPr>
      </w:pPr>
      <w:r>
        <w:rPr>
          <w:rFonts w:hint="eastAsia" w:ascii="宋体" w:hAnsi="宋体" w:cs="宋体"/>
          <w:bCs/>
          <w:color w:val="000000"/>
          <w:sz w:val="24"/>
        </w:rPr>
        <w:t>（五）定标方式：综合评分法，</w:t>
      </w:r>
      <w:r>
        <w:rPr>
          <w:rFonts w:hint="eastAsia" w:ascii="宋体" w:hAnsi="宋体" w:cs="宋体"/>
          <w:bCs/>
          <w:sz w:val="24"/>
        </w:rPr>
        <w:t>按照综合得分排名，选取不超过2个单位为入围单位，</w:t>
      </w:r>
      <w:bookmarkStart w:id="7" w:name="_Hlk160692516"/>
      <w:r>
        <w:rPr>
          <w:rFonts w:hint="eastAsia" w:ascii="宋体" w:hAnsi="宋体" w:cs="宋体"/>
          <w:bCs/>
          <w:sz w:val="24"/>
        </w:rPr>
        <w:t>若是实际应标单位少于4家，采购人有权减少入围单位数量。</w:t>
      </w:r>
      <w:bookmarkEnd w:id="7"/>
    </w:p>
    <w:p>
      <w:pPr>
        <w:spacing w:line="360" w:lineRule="auto"/>
        <w:ind w:firstLine="480" w:firstLineChars="200"/>
        <w:rPr>
          <w:rFonts w:ascii="宋体" w:hAnsi="宋体" w:cs="宋体"/>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附件1</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pPr>
        <w:widowControl/>
        <w:spacing w:before="156" w:beforeLines="50"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left="239" w:leftChars="114" w:firstLine="240" w:firstLineChars="100"/>
        <w:jc w:val="left"/>
        <w:rPr>
          <w:rFonts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pPr>
        <w:widowControl/>
        <w:spacing w:line="42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授权代表身份证复印件：</w:t>
      </w:r>
    </w:p>
    <w:tbl>
      <w:tblPr>
        <w:tblStyle w:val="18"/>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44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法人身份证复印件：</w:t>
      </w:r>
    </w:p>
    <w:tbl>
      <w:tblPr>
        <w:tblStyle w:val="18"/>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375" w:lineRule="atLeast"/>
        <w:jc w:val="left"/>
        <w:rPr>
          <w:rFonts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pPr>
        <w:widowControl/>
        <w:spacing w:before="124" w:beforeLines="40" w:after="124" w:afterLines="40" w:line="375" w:lineRule="atLeast"/>
        <w:jc w:val="left"/>
        <w:rPr>
          <w:rFonts w:ascii="微软雅黑" w:hAnsi="微软雅黑" w:eastAsia="微软雅黑" w:cs="微软雅黑"/>
          <w:b/>
          <w:color w:val="000000"/>
          <w:kern w:val="0"/>
          <w:sz w:val="24"/>
        </w:rPr>
      </w:pPr>
      <w:r>
        <w:rPr>
          <w:rFonts w:hint="eastAsia" w:ascii="黑体" w:hAnsi="黑体" w:eastAsia="黑体" w:cs="黑体"/>
          <w:b/>
          <w:color w:val="000000"/>
          <w:kern w:val="0"/>
          <w:sz w:val="24"/>
        </w:rPr>
        <w:t>附件2</w:t>
      </w:r>
    </w:p>
    <w:p>
      <w:pPr>
        <w:widowControl/>
        <w:spacing w:before="124" w:beforeLines="40" w:after="124" w:afterLines="40" w:line="375" w:lineRule="atLeast"/>
        <w:jc w:val="center"/>
        <w:rPr>
          <w:rFonts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pPr>
        <w:widowControl/>
        <w:spacing w:line="420" w:lineRule="exact"/>
        <w:ind w:firstLine="480" w:firstLineChars="200"/>
        <w:jc w:val="left"/>
        <w:rPr>
          <w:rFonts w:ascii="宋体" w:hAnsi="宋体" w:cs="宋体"/>
          <w:color w:val="000000"/>
          <w:kern w:val="0"/>
          <w:sz w:val="24"/>
        </w:rPr>
      </w:pPr>
      <w:r>
        <w:rPr>
          <w:rFonts w:ascii="宋体" w:hAnsi="宋体" w:cs="宋体"/>
          <w:color w:val="000000"/>
          <w:kern w:val="0"/>
          <w:sz w:val="24"/>
        </w:rPr>
        <w:t>致：</w:t>
      </w:r>
      <w:bookmarkStart w:id="8" w:name="_Hlk160811117"/>
      <w:r>
        <w:rPr>
          <w:rFonts w:ascii="宋体" w:hAnsi="宋体" w:cs="宋体"/>
          <w:color w:val="000000"/>
          <w:kern w:val="0"/>
          <w:sz w:val="24"/>
        </w:rPr>
        <w:t>湖南</w:t>
      </w:r>
      <w:r>
        <w:rPr>
          <w:rFonts w:hint="eastAsia" w:ascii="宋体" w:hAnsi="宋体" w:cs="宋体"/>
          <w:color w:val="000000"/>
          <w:kern w:val="0"/>
          <w:sz w:val="24"/>
        </w:rPr>
        <w:t>化工职业技术学院</w:t>
      </w:r>
      <w:r>
        <w:rPr>
          <w:rFonts w:ascii="宋体" w:hAnsi="宋体" w:cs="宋体"/>
          <w:color w:val="000000"/>
          <w:kern w:val="0"/>
          <w:sz w:val="24"/>
        </w:rPr>
        <w:t>：</w:t>
      </w:r>
    </w:p>
    <w:bookmarkEnd w:id="8"/>
    <w:p>
      <w:pPr>
        <w:widowControl/>
        <w:spacing w:line="420" w:lineRule="exact"/>
        <w:ind w:firstLine="960" w:firstLineChars="4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1、</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2、</w:t>
      </w:r>
    </w:p>
    <w:p>
      <w:pPr>
        <w:widowControl/>
        <w:spacing w:line="420" w:lineRule="exact"/>
        <w:ind w:firstLine="960" w:firstLineChars="400"/>
        <w:jc w:val="left"/>
        <w:rPr>
          <w:rFonts w:ascii="宋体" w:hAnsi="宋体" w:cs="宋体"/>
          <w:color w:val="000000"/>
          <w:kern w:val="0"/>
          <w:sz w:val="24"/>
        </w:rPr>
      </w:pPr>
    </w:p>
    <w:p>
      <w:pPr>
        <w:widowControl/>
        <w:spacing w:line="420" w:lineRule="exact"/>
        <w:ind w:firstLine="964" w:firstLineChars="400"/>
        <w:jc w:val="left"/>
        <w:rPr>
          <w:rFonts w:ascii="宋体" w:hAnsi="宋体" w:cs="宋体"/>
          <w:b/>
          <w:bCs/>
          <w:color w:val="000000"/>
          <w:kern w:val="0"/>
          <w:sz w:val="24"/>
        </w:rPr>
      </w:pPr>
      <w:bookmarkStart w:id="9" w:name="_Hlk160811156"/>
      <w:r>
        <w:rPr>
          <w:rFonts w:ascii="宋体" w:hAnsi="宋体" w:cs="宋体"/>
          <w:b/>
          <w:bCs/>
          <w:color w:val="000000"/>
          <w:kern w:val="0"/>
          <w:sz w:val="24"/>
        </w:rPr>
        <w:t>特此承诺</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9"/>
    <w:p>
      <w:pPr>
        <w:adjustRightInd w:val="0"/>
        <w:snapToGrid w:val="0"/>
        <w:spacing w:line="480" w:lineRule="auto"/>
        <w:ind w:right="23" w:rightChars="11" w:firstLine="480" w:firstLineChars="200"/>
        <w:rPr>
          <w:rFonts w:ascii="宋体" w:hAnsi="宋体" w:cs="宋体"/>
          <w:bCs/>
          <w:color w:val="000000"/>
          <w:sz w:val="24"/>
        </w:rPr>
      </w:pPr>
      <w:r>
        <w:rPr>
          <w:rFonts w:hint="eastAsia" w:ascii="宋体" w:hAnsi="宋体" w:cs="宋体"/>
          <w:bCs/>
          <w:color w:val="000000"/>
          <w:kern w:val="0"/>
          <w:sz w:val="24"/>
        </w:rPr>
        <w:t xml:space="preserve">                     </w:t>
      </w: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spacing w:line="375" w:lineRule="atLeast"/>
        <w:ind w:firstLine="102" w:firstLineChars="49"/>
        <w:jc w:val="left"/>
        <w:rPr>
          <w:color w:val="000000"/>
        </w:rPr>
      </w:pPr>
    </w:p>
    <w:p>
      <w:pPr>
        <w:widowControl/>
        <w:spacing w:line="375" w:lineRule="atLeast"/>
        <w:ind w:firstLine="137" w:firstLineChars="49"/>
        <w:jc w:val="left"/>
        <w:rPr>
          <w:rFonts w:ascii="黑体" w:hAnsi="黑体" w:eastAsia="黑体" w:cs="黑体"/>
          <w:bCs/>
          <w:color w:val="000000"/>
          <w:kern w:val="0"/>
          <w:sz w:val="28"/>
          <w:szCs w:val="28"/>
        </w:rPr>
      </w:pPr>
    </w:p>
    <w:p>
      <w:pPr>
        <w:widowControl/>
        <w:spacing w:before="124" w:beforeLines="40" w:after="124" w:afterLines="40"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附件3</w:t>
      </w:r>
    </w:p>
    <w:p>
      <w:pPr>
        <w:widowControl/>
        <w:spacing w:before="124" w:beforeLines="40" w:after="124" w:afterLines="40" w:line="375" w:lineRule="atLeast"/>
        <w:jc w:val="center"/>
        <w:rPr>
          <w:rFonts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pPr>
        <w:widowControl/>
        <w:spacing w:before="124" w:beforeLines="40" w:after="124" w:afterLines="40"/>
        <w:jc w:val="center"/>
        <w:rPr>
          <w:rFonts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pPr>
        <w:pStyle w:val="14"/>
        <w:widowControl w:val="0"/>
        <w:adjustRightInd w:val="0"/>
        <w:snapToGrid w:val="0"/>
        <w:spacing w:before="156" w:beforeLines="50" w:beforeAutospacing="0" w:after="0" w:afterAutospacing="0" w:line="360" w:lineRule="auto"/>
        <w:ind w:firstLine="480" w:firstLineChars="200"/>
        <w:rPr>
          <w:rFonts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pPr>
        <w:pStyle w:val="14"/>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pPr>
        <w:pStyle w:val="14"/>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3、依法缴纳税收和社会保险费的证明材料；</w:t>
      </w:r>
    </w:p>
    <w:p>
      <w:pPr>
        <w:pStyle w:val="14"/>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4、电子卖场资质证明材料；</w:t>
      </w:r>
    </w:p>
    <w:p>
      <w:pPr>
        <w:pStyle w:val="14"/>
        <w:widowControl w:val="0"/>
        <w:adjustRightInd w:val="0"/>
        <w:snapToGrid w:val="0"/>
        <w:spacing w:before="0" w:beforeAutospacing="0" w:after="0" w:afterAutospacing="0" w:line="360" w:lineRule="auto"/>
        <w:ind w:firstLine="480" w:firstLineChars="200"/>
        <w:rPr>
          <w:bCs/>
          <w:color w:val="000000"/>
          <w:szCs w:val="21"/>
        </w:rPr>
      </w:pPr>
      <w:r>
        <w:rPr>
          <w:rFonts w:hint="eastAsia" w:cs="宋体"/>
          <w:bCs/>
          <w:color w:val="000000"/>
        </w:rPr>
        <w:t>5、资格证明文件复印件须加盖供应商公章。</w:t>
      </w:r>
    </w:p>
    <w:p>
      <w:pPr>
        <w:pStyle w:val="14"/>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6、特定资格条件证明材料。</w:t>
      </w:r>
    </w:p>
    <w:p>
      <w:pPr>
        <w:pStyle w:val="14"/>
        <w:widowControl w:val="0"/>
        <w:adjustRightInd w:val="0"/>
        <w:snapToGrid w:val="0"/>
        <w:spacing w:before="0" w:beforeAutospacing="0" w:after="0" w:afterAutospacing="0" w:line="360" w:lineRule="auto"/>
        <w:ind w:firstLine="480" w:firstLineChars="200"/>
        <w:rPr>
          <w:rFonts w:cs="宋体"/>
          <w:bCs/>
          <w:color w:val="000000"/>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附件4</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olor w:val="000000"/>
          <w:szCs w:val="21"/>
        </w:rPr>
      </w:pPr>
      <w:r>
        <w:rPr>
          <w:rFonts w:hint="eastAsia" w:ascii="宋体" w:hAnsi="宋体"/>
          <w:color w:val="000000"/>
          <w:szCs w:val="21"/>
        </w:rPr>
        <w:t xml:space="preserve">                                                          金额单位：%</w:t>
      </w:r>
    </w:p>
    <w:tbl>
      <w:tblPr>
        <w:tblStyle w:val="17"/>
        <w:tblW w:w="89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8"/>
        <w:gridCol w:w="2235"/>
        <w:gridCol w:w="2520"/>
        <w:gridCol w:w="1870"/>
        <w:gridCol w:w="13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2"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b/>
                <w:bCs/>
                <w:color w:val="000000"/>
                <w:sz w:val="24"/>
              </w:rPr>
            </w:pPr>
            <w:r>
              <w:rPr>
                <w:rFonts w:hint="eastAsia" w:ascii="宋体" w:hAnsi="宋体" w:cs="宋体"/>
                <w:b/>
                <w:bCs/>
                <w:color w:val="000000"/>
                <w:sz w:val="24"/>
              </w:rPr>
              <w:t>序号</w:t>
            </w:r>
          </w:p>
        </w:tc>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b/>
                <w:bCs/>
                <w:color w:val="000000"/>
                <w:sz w:val="24"/>
              </w:rPr>
            </w:pPr>
            <w:r>
              <w:rPr>
                <w:rFonts w:hint="eastAsia" w:ascii="宋体" w:hAnsi="宋体" w:cs="宋体"/>
                <w:b/>
                <w:bCs/>
                <w:color w:val="000000"/>
                <w:sz w:val="24"/>
              </w:rPr>
              <w:t>服务名称</w:t>
            </w:r>
          </w:p>
        </w:tc>
        <w:tc>
          <w:tcPr>
            <w:tcW w:w="2520" w:type="dxa"/>
            <w:tcBorders>
              <w:top w:val="single" w:color="auto" w:sz="4" w:space="0"/>
              <w:left w:val="single" w:color="auto" w:sz="4" w:space="0"/>
              <w:bottom w:val="nil"/>
              <w:right w:val="single" w:color="auto" w:sz="4" w:space="0"/>
            </w:tcBorders>
            <w:vAlign w:val="center"/>
          </w:tcPr>
          <w:p>
            <w:pPr>
              <w:adjustRightInd w:val="0"/>
              <w:snapToGrid w:val="0"/>
              <w:ind w:left="-88" w:leftChars="-42"/>
              <w:jc w:val="center"/>
              <w:rPr>
                <w:rFonts w:ascii="宋体" w:hAnsi="宋体" w:cs="宋体"/>
                <w:b/>
                <w:bCs/>
                <w:color w:val="000000"/>
                <w:sz w:val="24"/>
              </w:rPr>
            </w:pPr>
            <w:r>
              <w:rPr>
                <w:rFonts w:hint="eastAsia" w:ascii="宋体" w:hAnsi="宋体" w:cs="宋体"/>
                <w:b/>
                <w:bCs/>
                <w:color w:val="000000"/>
                <w:sz w:val="24"/>
              </w:rPr>
              <w:t>服务费计取执行文件</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b/>
                <w:bCs/>
                <w:color w:val="000000"/>
                <w:sz w:val="24"/>
              </w:rPr>
            </w:pPr>
            <w:r>
              <w:rPr>
                <w:rFonts w:hint="eastAsia" w:ascii="宋体" w:hAnsi="宋体" w:cs="宋体"/>
                <w:b/>
                <w:bCs/>
                <w:color w:val="000000"/>
                <w:sz w:val="24"/>
              </w:rPr>
              <w:t>投标报价</w:t>
            </w:r>
          </w:p>
          <w:p>
            <w:pPr>
              <w:adjustRightInd w:val="0"/>
              <w:snapToGrid w:val="0"/>
              <w:ind w:left="-88" w:leftChars="-42"/>
              <w:jc w:val="center"/>
              <w:rPr>
                <w:rFonts w:ascii="宋体" w:hAnsi="宋体" w:cs="宋体"/>
                <w:b/>
                <w:bCs/>
                <w:color w:val="000000"/>
                <w:sz w:val="24"/>
              </w:rPr>
            </w:pPr>
            <w:r>
              <w:rPr>
                <w:rFonts w:hint="eastAsia" w:ascii="宋体" w:hAnsi="宋体" w:cs="宋体"/>
                <w:b/>
                <w:bCs/>
                <w:color w:val="000000"/>
                <w:sz w:val="24"/>
              </w:rPr>
              <w:t>（下浮优惠率）</w:t>
            </w:r>
          </w:p>
        </w:tc>
        <w:tc>
          <w:tcPr>
            <w:tcW w:w="1381" w:type="dxa"/>
            <w:tcBorders>
              <w:top w:val="single" w:color="auto" w:sz="4" w:space="0"/>
              <w:left w:val="single" w:color="auto" w:sz="4" w:space="0"/>
              <w:bottom w:val="nil"/>
              <w:right w:val="single" w:color="auto" w:sz="4" w:space="0"/>
            </w:tcBorders>
            <w:vAlign w:val="center"/>
          </w:tcPr>
          <w:p>
            <w:pPr>
              <w:adjustRightInd w:val="0"/>
              <w:snapToGrid w:val="0"/>
              <w:jc w:val="center"/>
              <w:rPr>
                <w:rFonts w:ascii="宋体" w:hAnsi="宋体" w:cs="宋体"/>
                <w:b/>
                <w:bCs/>
                <w:color w:val="000000"/>
                <w:sz w:val="24"/>
              </w:rPr>
            </w:pPr>
            <w:r>
              <w:rPr>
                <w:rFonts w:hint="eastAsia" w:ascii="宋体" w:hAnsi="宋体" w:cs="宋体"/>
                <w:b/>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r>
              <w:rPr>
                <w:rFonts w:hint="eastAsia" w:ascii="宋体" w:hAnsi="宋体" w:cs="宋体"/>
                <w:color w:val="000000"/>
                <w:sz w:val="24"/>
              </w:rPr>
              <w:t>1</w:t>
            </w:r>
          </w:p>
        </w:tc>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r>
              <w:rPr>
                <w:rFonts w:hint="eastAsia" w:ascii="宋体" w:hAnsi="宋体" w:cs="宋体"/>
                <w:color w:val="000000"/>
                <w:sz w:val="24"/>
              </w:rPr>
              <w:t>工程造价咨询服务</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r>
              <w:rPr>
                <w:rFonts w:hint="eastAsia" w:ascii="宋体" w:hAnsi="宋体" w:cs="宋体"/>
                <w:color w:val="000000"/>
                <w:sz w:val="24"/>
              </w:rPr>
              <w:t>湘建价协[2016]25号</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r>
              <w:rPr>
                <w:rFonts w:hint="eastAsia" w:ascii="宋体" w:hAnsi="宋体" w:cs="宋体"/>
                <w:color w:val="000000"/>
                <w:sz w:val="24"/>
              </w:rPr>
              <w:t xml:space="preserve">            %       </w:t>
            </w: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r>
              <w:rPr>
                <w:rFonts w:hint="eastAsia" w:ascii="宋体" w:hAnsi="宋体" w:cs="宋体"/>
                <w:color w:val="000000"/>
                <w:sz w:val="24"/>
              </w:rPr>
              <w:t>2</w:t>
            </w:r>
          </w:p>
        </w:tc>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2" w:hRule="atLeast"/>
          <w:jc w:val="center"/>
        </w:trPr>
        <w:tc>
          <w:tcPr>
            <w:tcW w:w="8964" w:type="dxa"/>
            <w:gridSpan w:val="5"/>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000000"/>
                <w:sz w:val="24"/>
              </w:rPr>
            </w:pPr>
          </w:p>
          <w:p>
            <w:pPr>
              <w:adjustRightInd w:val="0"/>
              <w:snapToGrid w:val="0"/>
              <w:spacing w:line="360" w:lineRule="auto"/>
              <w:rPr>
                <w:color w:val="000000"/>
              </w:rPr>
            </w:pPr>
            <w:r>
              <w:rPr>
                <w:rFonts w:hint="eastAsia"/>
                <w:b/>
                <w:color w:val="000000"/>
                <w:sz w:val="22"/>
              </w:rPr>
              <w:t>注：报价下浮优惠率不得低于20% 。（</w:t>
            </w:r>
            <w:r>
              <w:rPr>
                <w:rStyle w:val="90"/>
                <w:rFonts w:hint="eastAsia" w:ascii="宋体" w:hAnsi="宋体" w:cs="宋体"/>
                <w:b/>
                <w:bCs/>
                <w:color w:val="auto"/>
                <w:sz w:val="24"/>
                <w:highlight w:val="green"/>
                <w:u w:val="none"/>
              </w:rPr>
              <w:t>最高限价：优惠率不低于标准价格的20%，即最高价不得高于标准价格的80%，本次报价是按照优惠率进行报价。</w:t>
            </w:r>
            <w:r>
              <w:rPr>
                <w:rFonts w:hint="eastAsia"/>
                <w:b/>
                <w:color w:val="000000"/>
                <w:sz w:val="22"/>
              </w:rPr>
              <w:t>）</w:t>
            </w:r>
          </w:p>
        </w:tc>
      </w:tr>
    </w:tbl>
    <w:p>
      <w:pPr>
        <w:widowControl/>
        <w:spacing w:line="380" w:lineRule="exact"/>
        <w:jc w:val="left"/>
        <w:rPr>
          <w:rFonts w:ascii="宋体" w:hAnsi="宋体" w:cs="宋体"/>
          <w:color w:val="000000"/>
          <w:sz w:val="24"/>
        </w:rPr>
      </w:pPr>
    </w:p>
    <w:p>
      <w:pPr>
        <w:widowControl/>
        <w:spacing w:line="380" w:lineRule="exact"/>
        <w:jc w:val="left"/>
        <w:rPr>
          <w:rFonts w:ascii="宋体" w:hAnsi="宋体" w:cs="宋体"/>
          <w:color w:val="000000"/>
          <w:sz w:val="24"/>
        </w:rPr>
      </w:pPr>
    </w:p>
    <w:p>
      <w:pPr>
        <w:widowControl/>
        <w:spacing w:line="480" w:lineRule="auto"/>
        <w:jc w:val="left"/>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宋体" w:hAnsi="宋体" w:cs="宋体"/>
          <w:bCs/>
          <w:color w:val="000000"/>
          <w:sz w:val="24"/>
        </w:rPr>
      </w:pPr>
      <w:bookmarkStart w:id="10"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10"/>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附件5</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pPr>
        <w:adjustRightInd w:val="0"/>
        <w:snapToGrid w:val="0"/>
        <w:jc w:val="center"/>
        <w:rPr>
          <w:rFonts w:ascii="宋体" w:hAnsi="宋体" w:cs="宋体"/>
          <w:b/>
          <w:sz w:val="30"/>
          <w:szCs w:val="30"/>
        </w:rPr>
      </w:pPr>
      <w:r>
        <w:rPr>
          <w:rFonts w:hint="eastAsia" w:ascii="宋体" w:hAnsi="宋体" w:cs="宋体"/>
          <w:b/>
          <w:sz w:val="30"/>
          <w:szCs w:val="30"/>
        </w:rPr>
        <w:t>服务方案说明</w:t>
      </w:r>
    </w:p>
    <w:p>
      <w:pPr>
        <w:adjustRightInd w:val="0"/>
        <w:snapToGrid w:val="0"/>
        <w:rPr>
          <w:rFonts w:ascii="宋体" w:hAnsi="宋体" w:cs="宋体"/>
          <w:szCs w:val="21"/>
        </w:rPr>
      </w:pP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pPr>
              <w:spacing w:line="520" w:lineRule="exact"/>
              <w:ind w:firstLine="481"/>
              <w:jc w:val="center"/>
              <w:rPr>
                <w:rFonts w:ascii="宋体" w:hAnsi="宋体" w:cs="宋体"/>
                <w:szCs w:val="21"/>
              </w:rPr>
            </w:pPr>
            <w:r>
              <w:rPr>
                <w:rFonts w:hint="eastAsia" w:ascii="宋体" w:hAnsi="宋体" w:cs="宋体"/>
                <w:szCs w:val="21"/>
              </w:rPr>
              <w:t>格式自拟。</w:t>
            </w:r>
          </w:p>
          <w:p>
            <w:pPr>
              <w:spacing w:line="520" w:lineRule="exact"/>
              <w:ind w:firstLine="480"/>
              <w:rPr>
                <w:rFonts w:ascii="宋体" w:hAnsi="宋体" w:cs="宋体"/>
                <w:szCs w:val="21"/>
              </w:rPr>
            </w:pPr>
          </w:p>
        </w:tc>
      </w:tr>
    </w:tbl>
    <w:p>
      <w:pPr>
        <w:adjustRightInd w:val="0"/>
        <w:snapToGrid w:val="0"/>
        <w:spacing w:line="360" w:lineRule="auto"/>
        <w:ind w:firstLine="420" w:firstLineChars="200"/>
        <w:rPr>
          <w:rFonts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pStyle w:val="16"/>
        <w:tabs>
          <w:tab w:val="left" w:pos="3420"/>
        </w:tabs>
        <w:rPr>
          <w:rFonts w:ascii="宋体" w:hAnsi="宋体"/>
          <w:bCs/>
          <w:szCs w:val="21"/>
        </w:rPr>
      </w:pPr>
    </w:p>
    <w:p>
      <w:pPr>
        <w:pStyle w:val="5"/>
        <w:rPr>
          <w:rFonts w:ascii="宋体" w:hAnsi="宋体"/>
          <w:bCs/>
          <w:color w:val="000000"/>
          <w:szCs w:val="21"/>
        </w:rPr>
      </w:pPr>
    </w:p>
    <w:p>
      <w:pPr>
        <w:adjustRightInd w:val="0"/>
        <w:snapToGrid w:val="0"/>
        <w:spacing w:line="360" w:lineRule="auto"/>
        <w:rPr>
          <w:rFonts w:hint="eastAsia" w:ascii="黑体" w:hAnsi="黑体" w:eastAsia="黑体" w:cs="黑体"/>
          <w:b/>
          <w:color w:val="000000"/>
          <w:sz w:val="24"/>
        </w:rPr>
      </w:pPr>
    </w:p>
    <w:p>
      <w:pPr>
        <w:adjustRightInd w:val="0"/>
        <w:snapToGrid w:val="0"/>
        <w:spacing w:line="360" w:lineRule="auto"/>
        <w:rPr>
          <w:rFonts w:hint="eastAsia" w:ascii="黑体" w:hAnsi="黑体" w:eastAsia="黑体" w:cs="黑体"/>
          <w:b/>
          <w:color w:val="000000"/>
          <w:sz w:val="24"/>
        </w:rPr>
      </w:pPr>
    </w:p>
    <w:p>
      <w:pPr>
        <w:adjustRightInd w:val="0"/>
        <w:snapToGrid w:val="0"/>
        <w:spacing w:line="360" w:lineRule="auto"/>
        <w:rPr>
          <w:rFonts w:hint="eastAsia" w:ascii="黑体" w:hAnsi="黑体" w:eastAsia="黑体" w:cs="黑体"/>
          <w:b/>
          <w:color w:val="000000"/>
          <w:sz w:val="24"/>
        </w:rPr>
      </w:pPr>
    </w:p>
    <w:p>
      <w:pPr>
        <w:adjustRightInd w:val="0"/>
        <w:snapToGrid w:val="0"/>
        <w:spacing w:line="360" w:lineRule="auto"/>
        <w:rPr>
          <w:rFonts w:hint="eastAsia" w:ascii="黑体" w:hAnsi="黑体" w:eastAsia="黑体" w:cs="黑体"/>
          <w:b/>
          <w:color w:val="000000"/>
          <w:sz w:val="24"/>
        </w:rPr>
      </w:pPr>
    </w:p>
    <w:p>
      <w:pPr>
        <w:adjustRightInd w:val="0"/>
        <w:snapToGrid w:val="0"/>
        <w:spacing w:line="360" w:lineRule="auto"/>
        <w:rPr>
          <w:rFonts w:hint="eastAsia" w:ascii="黑体" w:hAnsi="黑体" w:eastAsia="黑体" w:cs="黑体"/>
          <w:b/>
          <w:color w:val="000000"/>
          <w:sz w:val="24"/>
        </w:rPr>
      </w:pPr>
    </w:p>
    <w:p>
      <w:pPr>
        <w:adjustRightInd w:val="0"/>
        <w:snapToGrid w:val="0"/>
        <w:spacing w:line="360" w:lineRule="auto"/>
        <w:rPr>
          <w:rFonts w:hint="eastAsia" w:ascii="黑体" w:hAnsi="黑体" w:eastAsia="黑体" w:cs="黑体"/>
          <w:b/>
          <w:color w:val="000000"/>
          <w:sz w:val="24"/>
        </w:rPr>
      </w:pPr>
    </w:p>
    <w:p>
      <w:pPr>
        <w:adjustRightInd w:val="0"/>
        <w:snapToGrid w:val="0"/>
        <w:spacing w:line="360" w:lineRule="auto"/>
        <w:rPr>
          <w:rFonts w:ascii="宋体" w:hAnsi="宋体" w:cs="宋体"/>
          <w:b/>
          <w:bCs/>
          <w:sz w:val="28"/>
          <w:szCs w:val="28"/>
        </w:rPr>
      </w:pPr>
      <w:r>
        <w:rPr>
          <w:rFonts w:hint="eastAsia" w:ascii="黑体" w:hAnsi="黑体" w:eastAsia="黑体" w:cs="黑体"/>
          <w:b/>
          <w:color w:val="000000"/>
          <w:sz w:val="24"/>
        </w:rPr>
        <w:t>附件6 比选投标单位基本情况</w:t>
      </w:r>
    </w:p>
    <w:tbl>
      <w:tblPr>
        <w:tblStyle w:val="17"/>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pPr>
              <w:spacing w:line="360" w:lineRule="auto"/>
              <w:ind w:firstLine="640" w:firstLineChars="200"/>
              <w:rPr>
                <w:rFonts w:ascii="仿宋_GB2312" w:eastAsia="仿宋_GB2312"/>
                <w:sz w:val="32"/>
                <w:szCs w:val="32"/>
              </w:rPr>
            </w:pPr>
          </w:p>
        </w:tc>
      </w:tr>
    </w:tbl>
    <w:p>
      <w:pPr>
        <w:spacing w:line="360" w:lineRule="auto"/>
        <w:ind w:firstLine="640" w:firstLineChars="200"/>
        <w:rPr>
          <w:rFonts w:ascii="仿宋_GB2312" w:eastAsia="仿宋_GB2312"/>
          <w:sz w:val="32"/>
          <w:szCs w:val="32"/>
        </w:rPr>
      </w:pPr>
    </w:p>
    <w:p>
      <w:pPr>
        <w:spacing w:line="360" w:lineRule="auto"/>
        <w:ind w:firstLine="480" w:firstLineChars="200"/>
        <w:rPr>
          <w:rFonts w:ascii="宋体" w:hAnsi="宋体" w:cs="宋体"/>
          <w:sz w:val="24"/>
        </w:rPr>
      </w:pPr>
      <w:r>
        <w:rPr>
          <w:rFonts w:hint="eastAsia" w:ascii="宋体" w:hAnsi="宋体" w:cs="宋体"/>
          <w:sz w:val="24"/>
        </w:rPr>
        <w:t>比选投标单位法定代表人或被授权人（签字）：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比选投标单位（盖章）：</w:t>
      </w:r>
    </w:p>
    <w:p>
      <w:pPr>
        <w:spacing w:line="360" w:lineRule="auto"/>
        <w:ind w:firstLine="480" w:firstLineChars="200"/>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仿宋_GB2312" w:eastAsia="仿宋_GB2312"/>
          <w:sz w:val="24"/>
        </w:rPr>
      </w:pPr>
    </w:p>
    <w:p>
      <w:pPr>
        <w:pStyle w:val="5"/>
        <w:rPr>
          <w:rFonts w:hAnsi="黑体" w:cs="黑体"/>
          <w:b/>
          <w:color w:val="000000"/>
          <w:sz w:val="24"/>
        </w:rPr>
      </w:pPr>
    </w:p>
    <w:p>
      <w:pPr>
        <w:pStyle w:val="5"/>
        <w:rPr>
          <w:rFonts w:hAnsi="黑体" w:cs="黑体"/>
          <w:b/>
          <w:color w:val="000000"/>
          <w:sz w:val="24"/>
        </w:rPr>
      </w:pPr>
    </w:p>
    <w:p>
      <w:pPr>
        <w:pStyle w:val="5"/>
        <w:rPr>
          <w:rFonts w:hAnsi="黑体" w:cs="黑体"/>
          <w:b/>
          <w:color w:val="000000"/>
          <w:sz w:val="24"/>
        </w:rPr>
      </w:pPr>
    </w:p>
    <w:p/>
    <w:p/>
    <w:p>
      <w:pPr>
        <w:spacing w:line="500" w:lineRule="exact"/>
        <w:ind w:firstLine="482" w:firstLineChars="200"/>
        <w:rPr>
          <w:rFonts w:ascii="宋体" w:hAnsi="宋体" w:cs="宋体"/>
          <w:sz w:val="24"/>
        </w:rPr>
      </w:pPr>
      <w:r>
        <w:rPr>
          <w:rFonts w:hint="eastAsia" w:ascii="宋体" w:hAnsi="宋体" w:cs="宋体"/>
          <w:b/>
          <w:sz w:val="24"/>
        </w:rPr>
        <w:t>九、比选投标须知</w:t>
      </w:r>
    </w:p>
    <w:p>
      <w:pPr>
        <w:spacing w:line="360" w:lineRule="auto"/>
        <w:ind w:firstLine="480" w:firstLineChars="200"/>
        <w:rPr>
          <w:rFonts w:ascii="宋体" w:hAnsi="宋体" w:cs="宋体"/>
          <w:sz w:val="24"/>
        </w:rPr>
      </w:pPr>
      <w:r>
        <w:rPr>
          <w:rFonts w:hint="eastAsia" w:ascii="宋体" w:hAnsi="宋体" w:cs="宋体"/>
          <w:sz w:val="24"/>
        </w:rPr>
        <w:t>（1）投标费用</w:t>
      </w:r>
    </w:p>
    <w:p>
      <w:pPr>
        <w:spacing w:line="360" w:lineRule="auto"/>
        <w:ind w:firstLine="480" w:firstLineChars="200"/>
        <w:rPr>
          <w:rFonts w:ascii="宋体" w:hAnsi="宋体" w:cs="宋体"/>
          <w:sz w:val="24"/>
        </w:rPr>
      </w:pPr>
      <w:r>
        <w:rPr>
          <w:rFonts w:hint="eastAsia" w:ascii="宋体" w:hAnsi="宋体" w:cs="宋体"/>
          <w:sz w:val="24"/>
        </w:rPr>
        <w:t>投标人参加比选项目所产生的一切费用，不论其结果如何，概由投标人自理。</w:t>
      </w:r>
    </w:p>
    <w:p>
      <w:pPr>
        <w:spacing w:line="360" w:lineRule="auto"/>
        <w:ind w:firstLine="480" w:firstLineChars="200"/>
        <w:rPr>
          <w:rFonts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pPr>
        <w:spacing w:line="360" w:lineRule="auto"/>
        <w:ind w:firstLine="480" w:firstLineChars="200"/>
        <w:rPr>
          <w:rFonts w:ascii="宋体" w:hAnsi="宋体" w:cs="宋体"/>
          <w:sz w:val="24"/>
        </w:rPr>
      </w:pPr>
      <w:r>
        <w:rPr>
          <w:rFonts w:hint="eastAsia" w:ascii="宋体" w:hAnsi="宋体" w:cs="宋体"/>
          <w:sz w:val="24"/>
        </w:rPr>
        <w:t>（3）比选文件的解释和澄清</w:t>
      </w:r>
    </w:p>
    <w:p>
      <w:pPr>
        <w:spacing w:line="360" w:lineRule="auto"/>
        <w:ind w:firstLine="480" w:firstLineChars="200"/>
        <w:rPr>
          <w:rFonts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pPr>
        <w:spacing w:line="360" w:lineRule="auto"/>
        <w:ind w:firstLine="482" w:firstLineChars="200"/>
        <w:rPr>
          <w:rFonts w:ascii="宋体" w:hAnsi="宋体" w:cs="宋体"/>
          <w:b/>
          <w:bCs/>
          <w:sz w:val="24"/>
        </w:rPr>
      </w:pPr>
      <w:r>
        <w:rPr>
          <w:rFonts w:hint="eastAsia" w:ascii="宋体" w:hAnsi="宋体" w:cs="宋体"/>
          <w:b/>
          <w:bCs/>
          <w:sz w:val="24"/>
        </w:rPr>
        <w:t>十、投标纪律</w:t>
      </w:r>
    </w:p>
    <w:p>
      <w:pPr>
        <w:spacing w:line="360" w:lineRule="auto"/>
        <w:ind w:firstLine="480" w:firstLineChars="200"/>
        <w:rPr>
          <w:rFonts w:ascii="宋体" w:hAnsi="宋体" w:cs="宋体"/>
          <w:sz w:val="24"/>
        </w:rPr>
      </w:pPr>
      <w:r>
        <w:rPr>
          <w:rFonts w:hint="eastAsia" w:ascii="宋体" w:hAnsi="宋体" w:cs="宋体"/>
          <w:sz w:val="24"/>
        </w:rPr>
        <w:t>1、投标单位不得对招标单位、评标人员施加任何影响，否则将取消其投标资格；</w:t>
      </w:r>
    </w:p>
    <w:p>
      <w:pPr>
        <w:spacing w:line="360" w:lineRule="auto"/>
        <w:ind w:firstLine="480" w:firstLineChars="200"/>
        <w:rPr>
          <w:rFonts w:ascii="宋体" w:hAnsi="宋体" w:cs="宋体"/>
          <w:sz w:val="24"/>
        </w:rPr>
      </w:pPr>
      <w:r>
        <w:rPr>
          <w:rFonts w:hint="eastAsia" w:ascii="宋体" w:hAnsi="宋体" w:cs="宋体"/>
          <w:sz w:val="24"/>
        </w:rPr>
        <w:t>2、投标单位不得以挂靠单位、转让证件等形式参与投标，否则其投标无效；</w:t>
      </w:r>
    </w:p>
    <w:p>
      <w:pPr>
        <w:spacing w:line="360" w:lineRule="auto"/>
        <w:ind w:firstLine="480" w:firstLineChars="200"/>
        <w:rPr>
          <w:rFonts w:ascii="宋体" w:hAnsi="宋体" w:cs="宋体"/>
          <w:sz w:val="24"/>
        </w:rPr>
      </w:pPr>
      <w:r>
        <w:rPr>
          <w:rFonts w:hint="eastAsia" w:ascii="宋体" w:hAnsi="宋体" w:cs="宋体"/>
          <w:sz w:val="24"/>
        </w:rPr>
        <w:t>3、投标单位中标后未经招标人书面同意，转让招标代理业务的，将取消其中标资格；</w:t>
      </w:r>
    </w:p>
    <w:p>
      <w:pPr>
        <w:spacing w:line="360" w:lineRule="auto"/>
        <w:ind w:firstLine="480" w:firstLineChars="200"/>
        <w:rPr>
          <w:rFonts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pPr>
        <w:spacing w:line="360" w:lineRule="auto"/>
        <w:ind w:firstLine="480" w:firstLineChars="200"/>
        <w:rPr>
          <w:rFonts w:ascii="宋体" w:hAnsi="宋体" w:cs="宋体"/>
          <w:sz w:val="24"/>
        </w:rPr>
      </w:pPr>
      <w:r>
        <w:rPr>
          <w:rFonts w:hint="eastAsia" w:ascii="宋体" w:hAnsi="宋体" w:cs="宋体"/>
          <w:sz w:val="24"/>
        </w:rPr>
        <w:t>5、投标书中的一切证明、证件必须真实可靠，否则取消其投标资格；</w:t>
      </w:r>
    </w:p>
    <w:p>
      <w:pPr>
        <w:spacing w:line="360" w:lineRule="auto"/>
        <w:ind w:firstLine="480" w:firstLineChars="200"/>
        <w:rPr>
          <w:rFonts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11" w:name="OLE_LINK1"/>
      <w:r>
        <w:rPr>
          <w:rFonts w:hint="eastAsia" w:ascii="宋体" w:hAnsi="宋体" w:cs="宋体"/>
          <w:sz w:val="24"/>
        </w:rPr>
        <w:t>盖投标单位公章</w:t>
      </w:r>
      <w:bookmarkEnd w:id="11"/>
      <w:r>
        <w:rPr>
          <w:rFonts w:hint="eastAsia" w:ascii="宋体" w:hAnsi="宋体" w:cs="宋体"/>
          <w:sz w:val="24"/>
        </w:rPr>
        <w:t>的授权委托书、委托代理人身份证。</w:t>
      </w:r>
    </w:p>
    <w:p>
      <w:pPr>
        <w:spacing w:line="360" w:lineRule="auto"/>
        <w:ind w:firstLine="482" w:firstLineChars="200"/>
        <w:rPr>
          <w:rFonts w:ascii="宋体" w:hAnsi="宋体" w:cs="宋体"/>
          <w:b/>
          <w:bCs/>
          <w:sz w:val="24"/>
        </w:rPr>
      </w:pPr>
      <w:r>
        <w:rPr>
          <w:rFonts w:hint="eastAsia" w:ascii="宋体" w:hAnsi="宋体" w:cs="宋体"/>
          <w:b/>
          <w:bCs/>
          <w:sz w:val="24"/>
        </w:rPr>
        <w:t>十一、比选投标文件的编制要求</w:t>
      </w:r>
    </w:p>
    <w:p>
      <w:pPr>
        <w:spacing w:line="360" w:lineRule="auto"/>
        <w:ind w:firstLine="480" w:firstLineChars="200"/>
        <w:rPr>
          <w:rFonts w:ascii="宋体" w:hAnsi="宋体" w:cs="宋体"/>
          <w:sz w:val="24"/>
        </w:rPr>
      </w:pPr>
      <w:r>
        <w:rPr>
          <w:rFonts w:hint="eastAsia" w:ascii="宋体" w:hAnsi="宋体" w:cs="宋体"/>
          <w:sz w:val="24"/>
        </w:rPr>
        <w:t>比选投标文件的组成。投标文件包括商务标和技术标两部分，商务标和技术标可装订为一本。</w:t>
      </w:r>
    </w:p>
    <w:p>
      <w:pPr>
        <w:spacing w:line="360" w:lineRule="auto"/>
        <w:ind w:firstLine="480" w:firstLineChars="200"/>
        <w:rPr>
          <w:rFonts w:ascii="宋体" w:hAnsi="宋体" w:cs="宋体"/>
          <w:sz w:val="24"/>
        </w:rPr>
      </w:pPr>
      <w:r>
        <w:rPr>
          <w:rFonts w:hint="eastAsia" w:ascii="宋体" w:hAnsi="宋体" w:cs="宋体"/>
          <w:sz w:val="24"/>
        </w:rPr>
        <w:t>（一）商务标部份应包括下列内容：</w:t>
      </w:r>
    </w:p>
    <w:p>
      <w:pPr>
        <w:spacing w:line="360" w:lineRule="auto"/>
        <w:ind w:firstLine="480" w:firstLineChars="200"/>
        <w:rPr>
          <w:rFonts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pPr>
        <w:spacing w:line="360" w:lineRule="auto"/>
        <w:ind w:firstLine="480" w:firstLineChars="200"/>
        <w:rPr>
          <w:rFonts w:ascii="宋体" w:hAnsi="宋体" w:cs="宋体"/>
          <w:sz w:val="24"/>
        </w:rPr>
      </w:pPr>
      <w:r>
        <w:rPr>
          <w:rFonts w:hint="eastAsia" w:ascii="宋体" w:hAnsi="宋体" w:cs="宋体"/>
          <w:sz w:val="24"/>
        </w:rPr>
        <w:t>2、服务承诺书；</w:t>
      </w:r>
    </w:p>
    <w:p>
      <w:pPr>
        <w:pStyle w:val="5"/>
      </w:pPr>
      <w:r>
        <w:rPr>
          <w:rFonts w:hint="eastAsia" w:ascii="宋体" w:hAnsi="宋体" w:eastAsia="宋体" w:cs="宋体"/>
          <w:kern w:val="2"/>
          <w:sz w:val="24"/>
          <w:szCs w:val="24"/>
        </w:rPr>
        <w:t xml:space="preserve">    3、服务方案；</w:t>
      </w:r>
    </w:p>
    <w:p>
      <w:pPr>
        <w:spacing w:line="360" w:lineRule="auto"/>
        <w:ind w:firstLine="480" w:firstLineChars="200"/>
        <w:rPr>
          <w:rFonts w:ascii="宋体" w:hAnsi="宋体" w:cs="宋体"/>
          <w:sz w:val="24"/>
        </w:rPr>
      </w:pPr>
      <w:r>
        <w:rPr>
          <w:rFonts w:hint="eastAsia" w:ascii="宋体" w:hAnsi="宋体" w:cs="宋体"/>
          <w:sz w:val="24"/>
        </w:rPr>
        <w:t>4、比选投标单位基本情况；</w:t>
      </w:r>
    </w:p>
    <w:p>
      <w:pPr>
        <w:spacing w:line="360" w:lineRule="auto"/>
        <w:ind w:firstLine="480" w:firstLineChars="200"/>
        <w:rPr>
          <w:rFonts w:ascii="宋体" w:hAnsi="宋体" w:cs="宋体"/>
          <w:sz w:val="24"/>
        </w:rPr>
      </w:pPr>
      <w:r>
        <w:rPr>
          <w:rFonts w:hint="eastAsia" w:ascii="宋体" w:hAnsi="宋体" w:cs="宋体"/>
          <w:sz w:val="24"/>
        </w:rPr>
        <w:t>5、比选投标单位近三年来成功案例业绩证明资料；</w:t>
      </w:r>
    </w:p>
    <w:p>
      <w:pPr>
        <w:spacing w:line="360" w:lineRule="auto"/>
        <w:ind w:firstLine="480" w:firstLineChars="200"/>
        <w:rPr>
          <w:rFonts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pPr>
        <w:spacing w:line="360" w:lineRule="auto"/>
        <w:ind w:firstLine="480" w:firstLineChars="200"/>
        <w:rPr>
          <w:rFonts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pPr>
        <w:spacing w:line="360" w:lineRule="auto"/>
        <w:ind w:firstLine="480" w:firstLineChars="200"/>
        <w:rPr>
          <w:rFonts w:ascii="宋体" w:hAnsi="宋体" w:cs="宋体"/>
          <w:sz w:val="24"/>
        </w:rPr>
      </w:pPr>
      <w:r>
        <w:rPr>
          <w:rFonts w:hint="eastAsia" w:ascii="宋体" w:hAnsi="宋体" w:cs="宋体"/>
          <w:sz w:val="24"/>
        </w:rPr>
        <w:t>8、特定资格证明文件；</w:t>
      </w:r>
    </w:p>
    <w:p>
      <w:pPr>
        <w:spacing w:line="360" w:lineRule="auto"/>
        <w:ind w:firstLine="480" w:firstLineChars="200"/>
        <w:rPr>
          <w:rFonts w:ascii="宋体" w:hAnsi="宋体" w:cs="宋体"/>
          <w:sz w:val="24"/>
        </w:rPr>
      </w:pPr>
      <w:r>
        <w:rPr>
          <w:rFonts w:hint="eastAsia" w:ascii="宋体" w:hAnsi="宋体" w:cs="宋体"/>
          <w:sz w:val="24"/>
        </w:rPr>
        <w:t>9、投标单位认为需要提供的其他资料文件。</w:t>
      </w:r>
    </w:p>
    <w:p>
      <w:pPr>
        <w:spacing w:line="360" w:lineRule="auto"/>
        <w:ind w:firstLine="480" w:firstLineChars="200"/>
        <w:rPr>
          <w:rFonts w:ascii="宋体" w:hAnsi="宋体" w:cs="宋体"/>
          <w:sz w:val="24"/>
        </w:rPr>
      </w:pPr>
      <w:r>
        <w:rPr>
          <w:rFonts w:hint="eastAsia" w:ascii="宋体" w:hAnsi="宋体" w:cs="宋体"/>
          <w:sz w:val="24"/>
        </w:rPr>
        <w:t>（二）技术部分由投标单位自行编制。</w:t>
      </w:r>
    </w:p>
    <w:p>
      <w:pPr>
        <w:spacing w:line="360" w:lineRule="auto"/>
        <w:ind w:firstLine="480" w:firstLineChars="200"/>
        <w:rPr>
          <w:rFonts w:ascii="宋体" w:hAnsi="宋体" w:cs="宋体"/>
          <w:sz w:val="24"/>
        </w:rPr>
      </w:pPr>
      <w:r>
        <w:rPr>
          <w:rFonts w:hint="eastAsia" w:ascii="宋体" w:hAnsi="宋体" w:cs="宋体"/>
          <w:sz w:val="24"/>
        </w:rPr>
        <w:t>注：各比选</w:t>
      </w:r>
      <w:bookmarkStart w:id="12" w:name="OLE_LINK3"/>
      <w:r>
        <w:rPr>
          <w:rFonts w:hint="eastAsia" w:ascii="宋体" w:hAnsi="宋体" w:cs="宋体"/>
          <w:sz w:val="24"/>
        </w:rPr>
        <w:t>投标单位</w:t>
      </w:r>
      <w:bookmarkEnd w:id="12"/>
      <w:r>
        <w:rPr>
          <w:rFonts w:hint="eastAsia" w:ascii="宋体" w:hAnsi="宋体" w:cs="宋体"/>
          <w:sz w:val="24"/>
        </w:rPr>
        <w:t>应保证上述资料的真实、可靠，如提供的资料和数据出现弄虚作假的情况即取消比选资格或中标候选人资格。</w:t>
      </w:r>
    </w:p>
    <w:p>
      <w:pPr>
        <w:spacing w:line="360" w:lineRule="auto"/>
        <w:ind w:firstLine="482" w:firstLineChars="200"/>
        <w:rPr>
          <w:rFonts w:ascii="宋体" w:hAnsi="宋体" w:cs="宋体"/>
          <w:b/>
          <w:bCs/>
          <w:sz w:val="24"/>
        </w:rPr>
      </w:pPr>
      <w:r>
        <w:rPr>
          <w:rFonts w:hint="eastAsia" w:ascii="宋体" w:hAnsi="宋体" w:cs="宋体"/>
          <w:b/>
          <w:bCs/>
          <w:sz w:val="24"/>
        </w:rPr>
        <w:t>十二、比选投标文件的份数与签署</w:t>
      </w:r>
    </w:p>
    <w:p>
      <w:pPr>
        <w:spacing w:line="360" w:lineRule="auto"/>
        <w:ind w:firstLine="480" w:firstLineChars="200"/>
        <w:rPr>
          <w:rFonts w:ascii="宋体" w:hAnsi="宋体" w:cs="宋体"/>
          <w:sz w:val="24"/>
        </w:rPr>
      </w:pPr>
      <w:r>
        <w:rPr>
          <w:rFonts w:hint="eastAsia" w:ascii="宋体" w:hAnsi="宋体" w:cs="宋体"/>
          <w:sz w:val="24"/>
        </w:rPr>
        <w:t>（1）比选投标文件一正三副，字迹应清晰易于辨认,并清楚地注明“正本”或“副本”，正本的签署应完好无缺；正本和副本如有不一致之处，以正本为准；如未注明“正本”或“副本”，且投标文件中实质性内容表述不一致的，则视为不合格投标人。</w:t>
      </w:r>
    </w:p>
    <w:p>
      <w:pPr>
        <w:spacing w:line="360" w:lineRule="auto"/>
        <w:ind w:firstLine="480" w:firstLineChars="200"/>
        <w:rPr>
          <w:rFonts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pPr>
        <w:spacing w:line="360" w:lineRule="auto"/>
        <w:ind w:firstLine="480" w:firstLineChars="200"/>
        <w:rPr>
          <w:rFonts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pPr>
        <w:spacing w:line="360" w:lineRule="auto"/>
        <w:ind w:firstLine="480" w:firstLineChars="200"/>
        <w:rPr>
          <w:rFonts w:ascii="宋体" w:hAnsi="宋体" w:cs="宋体"/>
          <w:sz w:val="24"/>
        </w:rPr>
      </w:pPr>
      <w:r>
        <w:rPr>
          <w:rFonts w:hint="eastAsia" w:ascii="宋体" w:hAnsi="宋体" w:cs="宋体"/>
          <w:sz w:val="24"/>
        </w:rPr>
        <w:t>(4)电报、电话或传真形式的投标，招标人概不接受。</w:t>
      </w:r>
    </w:p>
    <w:p>
      <w:pPr>
        <w:spacing w:line="360" w:lineRule="auto"/>
        <w:ind w:firstLine="482" w:firstLineChars="200"/>
        <w:rPr>
          <w:rFonts w:ascii="宋体" w:hAnsi="宋体" w:cs="宋体"/>
          <w:b/>
          <w:bCs/>
          <w:sz w:val="24"/>
        </w:rPr>
      </w:pPr>
      <w:r>
        <w:rPr>
          <w:rFonts w:hint="eastAsia" w:ascii="宋体" w:hAnsi="宋体" w:cs="宋体"/>
          <w:b/>
          <w:bCs/>
          <w:sz w:val="24"/>
        </w:rPr>
        <w:t>十三、投标文件的密封与递交</w:t>
      </w:r>
    </w:p>
    <w:p>
      <w:pPr>
        <w:spacing w:line="360" w:lineRule="auto"/>
        <w:ind w:firstLine="480" w:firstLineChars="200"/>
        <w:rPr>
          <w:rFonts w:ascii="宋体" w:hAnsi="宋体" w:cs="宋体"/>
          <w:sz w:val="24"/>
        </w:rPr>
      </w:pPr>
      <w:r>
        <w:rPr>
          <w:rFonts w:hint="eastAsia" w:ascii="宋体" w:hAnsi="宋体" w:cs="宋体"/>
          <w:sz w:val="24"/>
        </w:rPr>
        <w:t>(1)投标文件的装订密封和标记</w:t>
      </w:r>
    </w:p>
    <w:p>
      <w:pPr>
        <w:spacing w:line="360" w:lineRule="auto"/>
        <w:ind w:firstLine="480" w:firstLineChars="200"/>
        <w:rPr>
          <w:rFonts w:ascii="宋体" w:hAnsi="宋体" w:cs="宋体"/>
          <w:sz w:val="24"/>
        </w:rPr>
      </w:pPr>
      <w:r>
        <w:rPr>
          <w:rFonts w:hint="eastAsia" w:ascii="宋体" w:hAnsi="宋体" w:cs="宋体"/>
          <w:sz w:val="24"/>
        </w:rPr>
        <w:t>投标人应将投标文件密封包装。</w:t>
      </w:r>
    </w:p>
    <w:p>
      <w:pPr>
        <w:spacing w:line="360" w:lineRule="auto"/>
        <w:ind w:firstLine="480" w:firstLineChars="200"/>
        <w:rPr>
          <w:rFonts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pPr>
        <w:spacing w:line="360" w:lineRule="auto"/>
        <w:ind w:firstLine="480" w:firstLineChars="200"/>
        <w:rPr>
          <w:rFonts w:ascii="宋体" w:hAnsi="宋体" w:cs="宋体"/>
          <w:sz w:val="24"/>
        </w:rPr>
      </w:pPr>
      <w:r>
        <w:rPr>
          <w:rFonts w:hint="eastAsia" w:ascii="宋体" w:hAnsi="宋体" w:cs="宋体"/>
          <w:sz w:val="24"/>
        </w:rPr>
        <w:t>投标书未按上述规定密封的视为无效投标书。</w:t>
      </w:r>
    </w:p>
    <w:p>
      <w:pPr>
        <w:spacing w:line="360" w:lineRule="auto"/>
        <w:ind w:firstLine="480" w:firstLineChars="200"/>
        <w:rPr>
          <w:rFonts w:ascii="宋体" w:hAnsi="宋体" w:cs="宋体"/>
          <w:sz w:val="24"/>
        </w:rPr>
      </w:pPr>
      <w:r>
        <w:rPr>
          <w:rFonts w:hint="eastAsia" w:ascii="宋体" w:hAnsi="宋体" w:cs="宋体"/>
          <w:sz w:val="24"/>
          <w:highlight w:val="green"/>
        </w:rPr>
        <w:t>同时递交一份资质证明文件。</w:t>
      </w:r>
    </w:p>
    <w:p>
      <w:pPr>
        <w:spacing w:line="360" w:lineRule="auto"/>
        <w:ind w:firstLine="480" w:firstLineChars="200"/>
        <w:rPr>
          <w:rFonts w:ascii="宋体" w:hAnsi="宋体" w:cs="宋体"/>
          <w:sz w:val="24"/>
        </w:rPr>
      </w:pPr>
      <w:r>
        <w:rPr>
          <w:rFonts w:hint="eastAsia" w:ascii="宋体" w:hAnsi="宋体" w:cs="宋体"/>
          <w:sz w:val="24"/>
        </w:rPr>
        <w:t>(2)投标文件的递交</w:t>
      </w:r>
    </w:p>
    <w:p>
      <w:pPr>
        <w:spacing w:line="360" w:lineRule="auto"/>
        <w:ind w:firstLine="480" w:firstLineChars="200"/>
        <w:rPr>
          <w:rFonts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109</w:t>
      </w:r>
      <w:r>
        <w:rPr>
          <w:rFonts w:hint="eastAsia" w:ascii="宋体" w:hAnsi="宋体" w:cs="宋体"/>
          <w:sz w:val="24"/>
        </w:rPr>
        <w:t>会议室，由工作人员登记。投标时间截止后，逾期送达的投标书将被招标单位拒收，其投标书为无效投标书。</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十四、评标办法和选取确认方式</w:t>
      </w:r>
    </w:p>
    <w:p>
      <w:pPr>
        <w:spacing w:line="360" w:lineRule="auto"/>
        <w:ind w:firstLine="480" w:firstLineChars="200"/>
        <w:rPr>
          <w:rFonts w:ascii="宋体" w:hAnsi="宋体" w:cs="宋体"/>
          <w:sz w:val="24"/>
        </w:rPr>
      </w:pPr>
      <w:r>
        <w:rPr>
          <w:rFonts w:hint="eastAsia" w:ascii="宋体" w:hAnsi="宋体" w:cs="宋体"/>
          <w:sz w:val="24"/>
        </w:rPr>
        <w:t>1、比选评分标准</w:t>
      </w:r>
    </w:p>
    <w:p>
      <w:pPr>
        <w:spacing w:line="360" w:lineRule="auto"/>
        <w:ind w:firstLine="480" w:firstLineChars="200"/>
        <w:rPr>
          <w:rFonts w:ascii="宋体" w:hAnsi="宋体" w:cs="宋体"/>
          <w:sz w:val="24"/>
        </w:rPr>
      </w:pPr>
      <w:r>
        <w:rPr>
          <w:rFonts w:hint="eastAsia" w:ascii="宋体" w:hAnsi="宋体" w:cs="宋体"/>
          <w:sz w:val="24"/>
        </w:rPr>
        <w:t>对参与比选的投标人进行资格审查后，按比选评分标准对各投标人进行打分，综合得分排名前2名的投标人获得本次比选的中标资格，比选评分标准附后。</w:t>
      </w:r>
    </w:p>
    <w:p>
      <w:pPr>
        <w:pStyle w:val="7"/>
        <w:spacing w:after="0"/>
        <w:jc w:val="center"/>
        <w:rPr>
          <w:rFonts w:ascii="仿宋" w:hAnsi="仿宋" w:eastAsia="仿宋" w:cs="仿宋"/>
          <w:sz w:val="28"/>
          <w:szCs w:val="28"/>
        </w:rPr>
      </w:pPr>
      <w:r>
        <w:rPr>
          <w:rFonts w:hint="eastAsia" w:ascii="仿宋" w:hAnsi="仿宋" w:eastAsia="仿宋" w:cs="仿宋"/>
          <w:b/>
          <w:bCs/>
          <w:sz w:val="28"/>
          <w:szCs w:val="28"/>
        </w:rPr>
        <w:t>比选</w:t>
      </w:r>
      <w:bookmarkStart w:id="13" w:name="_Hlk160818547"/>
      <w:r>
        <w:rPr>
          <w:rFonts w:hint="eastAsia" w:ascii="仿宋" w:hAnsi="仿宋" w:eastAsia="仿宋" w:cs="仿宋"/>
          <w:b/>
          <w:bCs/>
          <w:sz w:val="28"/>
          <w:szCs w:val="28"/>
        </w:rPr>
        <w:t>评分标准</w:t>
      </w:r>
      <w:bookmarkEnd w:id="13"/>
    </w:p>
    <w:tbl>
      <w:tblPr>
        <w:tblStyle w:val="17"/>
        <w:tblW w:w="10050"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80" w:type="dxa"/>
            <w:vAlign w:val="center"/>
          </w:tcPr>
          <w:p>
            <w:pPr>
              <w:spacing w:line="400" w:lineRule="exact"/>
              <w:jc w:val="center"/>
              <w:rPr>
                <w:rFonts w:hAnsi="仿宋_GB2312" w:cs="仿宋_GB2312"/>
                <w:b/>
                <w:bCs/>
                <w:sz w:val="24"/>
              </w:rPr>
            </w:pPr>
            <w:r>
              <w:rPr>
                <w:rFonts w:hint="eastAsia" w:hAnsi="仿宋_GB2312" w:cs="仿宋_GB2312"/>
                <w:b/>
                <w:bCs/>
                <w:sz w:val="24"/>
              </w:rPr>
              <w:t>评分因素</w:t>
            </w:r>
          </w:p>
        </w:tc>
        <w:tc>
          <w:tcPr>
            <w:tcW w:w="8370" w:type="dxa"/>
            <w:vAlign w:val="center"/>
          </w:tcPr>
          <w:p>
            <w:pPr>
              <w:spacing w:line="400" w:lineRule="exact"/>
              <w:jc w:val="center"/>
              <w:rPr>
                <w:rFonts w:hAnsi="仿宋_GB2312" w:cs="仿宋_GB2312"/>
                <w:b/>
                <w:bCs/>
                <w:sz w:val="24"/>
              </w:rPr>
            </w:pPr>
            <w:r>
              <w:rPr>
                <w:rFonts w:hint="eastAsia" w:hAnsi="仿宋_GB2312" w:cs="仿宋_GB2312"/>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680" w:type="dxa"/>
            <w:vAlign w:val="center"/>
          </w:tcPr>
          <w:p>
            <w:pPr>
              <w:spacing w:line="400" w:lineRule="exact"/>
              <w:jc w:val="center"/>
              <w:rPr>
                <w:rFonts w:hAnsi="仿宋_GB2312" w:cs="仿宋_GB2312"/>
                <w:sz w:val="24"/>
              </w:rPr>
            </w:pPr>
            <w:r>
              <w:rPr>
                <w:rFonts w:hint="eastAsia" w:hAnsi="仿宋_GB2312" w:cs="仿宋_GB2312"/>
                <w:sz w:val="24"/>
              </w:rPr>
              <w:t>投标报价（下浮优惠率）</w:t>
            </w:r>
          </w:p>
          <w:p>
            <w:pPr>
              <w:spacing w:line="400" w:lineRule="exact"/>
              <w:jc w:val="center"/>
              <w:rPr>
                <w:rFonts w:hAnsi="仿宋_GB2312" w:cs="仿宋_GB2312"/>
                <w:sz w:val="24"/>
              </w:rPr>
            </w:pPr>
            <w:r>
              <w:rPr>
                <w:rFonts w:hint="eastAsia" w:hAnsi="仿宋_GB2312" w:cs="仿宋_GB2312"/>
                <w:sz w:val="24"/>
              </w:rPr>
              <w:t>（40分）</w:t>
            </w:r>
          </w:p>
        </w:tc>
        <w:tc>
          <w:tcPr>
            <w:tcW w:w="8370" w:type="dxa"/>
            <w:vAlign w:val="center"/>
          </w:tcPr>
          <w:p>
            <w:pPr>
              <w:spacing w:line="400" w:lineRule="exact"/>
              <w:jc w:val="left"/>
              <w:rPr>
                <w:rFonts w:hAnsi="仿宋_GB2312" w:cs="仿宋_GB2312"/>
                <w:strike/>
                <w:sz w:val="24"/>
              </w:rPr>
            </w:pPr>
            <w:r>
              <w:rPr>
                <w:rFonts w:hAnsi="仿宋_GB2312" w:cs="仿宋_GB2312"/>
                <w:sz w:val="24"/>
              </w:rPr>
              <w:t>投标报价得分=（投标报价／评标基准价）×</w:t>
            </w:r>
            <w:r>
              <w:rPr>
                <w:rFonts w:hint="eastAsia" w:hAnsi="仿宋_GB2312" w:cs="仿宋_GB2312"/>
                <w:sz w:val="24"/>
              </w:rPr>
              <w:t>4</w:t>
            </w:r>
            <w:r>
              <w:rPr>
                <w:rFonts w:hAnsi="仿宋_GB2312" w:cs="仿宋_GB2312"/>
                <w:sz w:val="24"/>
              </w:rPr>
              <w:t>0，满足招标文件要求且投标价格最低</w:t>
            </w:r>
            <w:r>
              <w:rPr>
                <w:rFonts w:hint="eastAsia" w:hAnsi="仿宋_GB2312" w:cs="仿宋_GB2312"/>
                <w:sz w:val="24"/>
              </w:rPr>
              <w:t>（即下浮优惠率最高）</w:t>
            </w:r>
            <w:r>
              <w:rPr>
                <w:rFonts w:hAnsi="仿宋_GB2312" w:cs="仿宋_GB2312"/>
                <w:sz w:val="24"/>
              </w:rPr>
              <w:t>的投标报价为基准价，其价格分为满分。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spacing w:line="400" w:lineRule="exact"/>
              <w:jc w:val="center"/>
              <w:rPr>
                <w:rFonts w:hAnsi="仿宋_GB2312" w:cs="仿宋_GB2312"/>
                <w:sz w:val="24"/>
              </w:rPr>
            </w:pPr>
            <w:r>
              <w:rPr>
                <w:rFonts w:hint="eastAsia" w:hAnsi="仿宋_GB2312" w:cs="仿宋_GB2312"/>
                <w:color w:val="auto"/>
                <w:sz w:val="24"/>
              </w:rPr>
              <w:t>服务方案承诺（20分）</w:t>
            </w:r>
          </w:p>
        </w:tc>
        <w:tc>
          <w:tcPr>
            <w:tcW w:w="8370" w:type="dxa"/>
          </w:tcPr>
          <w:p>
            <w:pPr>
              <w:spacing w:line="400" w:lineRule="exact"/>
              <w:jc w:val="left"/>
              <w:rPr>
                <w:rFonts w:hAnsi="仿宋_GB2312" w:cs="仿宋_GB2312"/>
                <w:color w:val="auto"/>
                <w:sz w:val="24"/>
              </w:rPr>
            </w:pPr>
            <w:r>
              <w:rPr>
                <w:rFonts w:hint="eastAsia" w:hAnsi="仿宋_GB2312" w:cs="仿宋_GB2312"/>
                <w:sz w:val="24"/>
              </w:rPr>
              <w:t>1、项目整体方案：提供详细的实施服务方案，工作流程设计详细、合理，工作计划及时间进度安排，服务进度符合采购人的时限要求，工作效率高，跟踪服务措施合理，完成专项任务时间安排安排合理，考虑问题全面、细致、完整，整体服务方案编制合理，因地制宜且符合实际，</w:t>
            </w:r>
            <w:r>
              <w:rPr>
                <w:rFonts w:hint="eastAsia" w:hAnsi="仿宋_GB2312" w:cs="仿宋_GB2312"/>
                <w:color w:val="auto"/>
                <w:sz w:val="24"/>
              </w:rPr>
              <w:t>优计6分；良计4分；一般计2分；未提供的不计分。</w:t>
            </w:r>
          </w:p>
          <w:p>
            <w:pPr>
              <w:spacing w:line="400" w:lineRule="exact"/>
              <w:jc w:val="left"/>
              <w:rPr>
                <w:rFonts w:hAnsi="仿宋_GB2312" w:cs="仿宋_GB2312"/>
                <w:color w:val="auto"/>
                <w:sz w:val="24"/>
              </w:rPr>
            </w:pPr>
            <w:r>
              <w:rPr>
                <w:rFonts w:hint="eastAsia" w:hAnsi="仿宋_GB2312" w:cs="仿宋_GB2312"/>
                <w:sz w:val="24"/>
              </w:rPr>
              <w:t>2、人员计划安排：供应商管理人员与审计人员职责任务是否明确，人员管理制度是否完善，审计人员安排情况及项目时间安排是否全面及合理，</w:t>
            </w:r>
            <w:r>
              <w:rPr>
                <w:rFonts w:hint="eastAsia" w:hAnsi="仿宋_GB2312" w:cs="仿宋_GB2312"/>
                <w:color w:val="auto"/>
                <w:sz w:val="24"/>
              </w:rPr>
              <w:t>优秀的计5分；良好的计3分；一般的计1分；未提供的不计分。</w:t>
            </w:r>
          </w:p>
          <w:p>
            <w:pPr>
              <w:spacing w:line="400" w:lineRule="exact"/>
              <w:jc w:val="left"/>
              <w:rPr>
                <w:rFonts w:hAnsi="仿宋_GB2312" w:cs="仿宋_GB2312"/>
                <w:sz w:val="24"/>
              </w:rPr>
            </w:pPr>
            <w:r>
              <w:rPr>
                <w:rFonts w:hint="eastAsia" w:hAnsi="仿宋_GB2312" w:cs="仿宋_GB2312"/>
                <w:sz w:val="24"/>
              </w:rPr>
              <w:t>3、服务质量保证措施：投标人有详细合理、操作性强的成果质量保障方案和措施，有专门的领导小组进行服务质量监控，对提交的成果有专业技术人员审查复核，质量保证措施得力，优秀的计4分；良好的计2分；一般的计1分；未提供的不计分。</w:t>
            </w:r>
          </w:p>
          <w:p>
            <w:pPr>
              <w:spacing w:line="400" w:lineRule="exact"/>
              <w:jc w:val="left"/>
              <w:rPr>
                <w:rFonts w:hAnsi="仿宋_GB2312" w:cs="仿宋_GB2312"/>
                <w:sz w:val="24"/>
              </w:rPr>
            </w:pPr>
            <w:r>
              <w:rPr>
                <w:rFonts w:hint="eastAsia" w:hAnsi="仿宋_GB2312" w:cs="仿宋_GB2312"/>
                <w:sz w:val="24"/>
              </w:rPr>
              <w:t>3、廉政风险防控措施：制订的廉洁保证措施；优秀的计2分，一般的计1分；未提供的不计分。</w:t>
            </w:r>
          </w:p>
          <w:p>
            <w:pPr>
              <w:spacing w:line="400" w:lineRule="exact"/>
              <w:jc w:val="left"/>
              <w:rPr>
                <w:rFonts w:hAnsi="仿宋_GB2312" w:cs="仿宋_GB2312"/>
                <w:sz w:val="24"/>
              </w:rPr>
            </w:pPr>
            <w:r>
              <w:rPr>
                <w:rFonts w:hint="eastAsia" w:hAnsi="仿宋_GB2312" w:cs="仿宋_GB2312"/>
                <w:sz w:val="24"/>
              </w:rPr>
              <w:t>4、其他保证措施及合理化建议：其他相关措施及合理化建议等综合比较，计0-3分。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680" w:type="dxa"/>
            <w:vAlign w:val="center"/>
          </w:tcPr>
          <w:p>
            <w:pPr>
              <w:spacing w:line="400" w:lineRule="exact"/>
              <w:jc w:val="center"/>
              <w:rPr>
                <w:rFonts w:hAnsi="仿宋_GB2312" w:cs="仿宋_GB2312"/>
                <w:sz w:val="24"/>
              </w:rPr>
            </w:pPr>
            <w:r>
              <w:rPr>
                <w:rFonts w:hint="eastAsia" w:hAnsi="仿宋_GB2312" w:cs="仿宋_GB2312"/>
                <w:sz w:val="24"/>
              </w:rPr>
              <w:t>比选需求承诺</w:t>
            </w:r>
          </w:p>
          <w:p>
            <w:pPr>
              <w:spacing w:line="400" w:lineRule="exact"/>
              <w:jc w:val="center"/>
              <w:rPr>
                <w:rFonts w:hAnsi="仿宋_GB2312" w:cs="仿宋_GB2312"/>
                <w:sz w:val="24"/>
              </w:rPr>
            </w:pPr>
            <w:r>
              <w:rPr>
                <w:rFonts w:hint="eastAsia" w:hAnsi="仿宋_GB2312" w:cs="仿宋_GB2312"/>
                <w:sz w:val="24"/>
              </w:rPr>
              <w:t>（5分）</w:t>
            </w:r>
          </w:p>
        </w:tc>
        <w:tc>
          <w:tcPr>
            <w:tcW w:w="8370" w:type="dxa"/>
          </w:tcPr>
          <w:p>
            <w:pPr>
              <w:spacing w:line="400" w:lineRule="exact"/>
              <w:jc w:val="left"/>
              <w:rPr>
                <w:rFonts w:hAnsi="仿宋_GB2312" w:cs="仿宋_GB2312"/>
                <w:sz w:val="24"/>
              </w:rPr>
            </w:pPr>
            <w:r>
              <w:rPr>
                <w:rFonts w:hint="eastAsia" w:hAnsi="仿宋_GB2312" w:cs="仿宋_GB2312"/>
                <w:sz w:val="24"/>
              </w:rPr>
              <w:t>供应商必须在响应文件中对“服务要求”所有条款进行承诺，承诺内容齐全的计5分，缺漏项的计0分。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680" w:type="dxa"/>
            <w:vAlign w:val="center"/>
          </w:tcPr>
          <w:p>
            <w:pPr>
              <w:spacing w:line="400" w:lineRule="exact"/>
              <w:jc w:val="center"/>
              <w:rPr>
                <w:rFonts w:hAnsi="仿宋_GB2312" w:cs="仿宋_GB2312"/>
                <w:sz w:val="24"/>
              </w:rPr>
            </w:pPr>
            <w:r>
              <w:rPr>
                <w:rFonts w:hint="eastAsia" w:hAnsi="仿宋_GB2312" w:cs="仿宋_GB2312"/>
                <w:sz w:val="24"/>
              </w:rPr>
              <w:t>类似业绩</w:t>
            </w:r>
          </w:p>
          <w:p>
            <w:pPr>
              <w:spacing w:line="400" w:lineRule="exact"/>
              <w:jc w:val="center"/>
              <w:rPr>
                <w:rFonts w:hAnsi="仿宋_GB2312" w:cs="仿宋_GB2312"/>
                <w:sz w:val="24"/>
              </w:rPr>
            </w:pPr>
            <w:r>
              <w:rPr>
                <w:rFonts w:hint="eastAsia" w:hAnsi="仿宋_GB2312" w:cs="仿宋_GB2312"/>
                <w:sz w:val="24"/>
              </w:rPr>
              <w:t>（15分）</w:t>
            </w:r>
          </w:p>
        </w:tc>
        <w:tc>
          <w:tcPr>
            <w:tcW w:w="8370" w:type="dxa"/>
          </w:tcPr>
          <w:p>
            <w:pPr>
              <w:spacing w:line="400" w:lineRule="exact"/>
              <w:jc w:val="left"/>
              <w:rPr>
                <w:rFonts w:hAnsi="仿宋_GB2312" w:cs="仿宋_GB2312"/>
                <w:sz w:val="24"/>
              </w:rPr>
            </w:pPr>
            <w:r>
              <w:rPr>
                <w:rFonts w:hint="eastAsia" w:hAnsi="仿宋_GB2312" w:cs="仿宋_GB2312"/>
                <w:sz w:val="24"/>
              </w:rPr>
              <w:t>近3年（2021年2月至今）完成过三个及以上工程造价咨询相关业绩，工程项目预算编制或审核、结算审核的计3分，在此基础上每增加1个类似项目业绩加2分，最高不超过15分。需要附有业绩合同证明文件，若合同中不能体现项目名称的，还需提供工程项目预算编制或审核、结算审核证明资料并加盖公章，否则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80" w:type="dxa"/>
            <w:vAlign w:val="center"/>
          </w:tcPr>
          <w:p>
            <w:pPr>
              <w:spacing w:line="400" w:lineRule="exact"/>
              <w:jc w:val="center"/>
              <w:rPr>
                <w:rFonts w:hAnsi="仿宋_GB2312" w:cs="仿宋_GB2312"/>
                <w:sz w:val="24"/>
              </w:rPr>
            </w:pPr>
            <w:r>
              <w:rPr>
                <w:rFonts w:hint="eastAsia" w:hAnsi="仿宋_GB2312" w:cs="仿宋_GB2312"/>
                <w:sz w:val="24"/>
              </w:rPr>
              <w:t>企业信用</w:t>
            </w:r>
          </w:p>
          <w:p>
            <w:pPr>
              <w:spacing w:line="400" w:lineRule="exact"/>
              <w:jc w:val="center"/>
              <w:rPr>
                <w:rFonts w:hAnsi="仿宋_GB2312" w:cs="仿宋_GB2312"/>
                <w:sz w:val="24"/>
              </w:rPr>
            </w:pPr>
            <w:r>
              <w:rPr>
                <w:rFonts w:hint="eastAsia" w:hAnsi="仿宋_GB2312" w:cs="仿宋_GB2312"/>
                <w:sz w:val="24"/>
              </w:rPr>
              <w:t>（6分）</w:t>
            </w:r>
          </w:p>
        </w:tc>
        <w:tc>
          <w:tcPr>
            <w:tcW w:w="8370" w:type="dxa"/>
            <w:vAlign w:val="center"/>
          </w:tcPr>
          <w:p>
            <w:pPr>
              <w:spacing w:line="400" w:lineRule="exact"/>
              <w:jc w:val="left"/>
              <w:rPr>
                <w:rFonts w:hAnsi="仿宋_GB2312" w:cs="仿宋_GB2312"/>
                <w:sz w:val="24"/>
              </w:rPr>
            </w:pPr>
            <w:r>
              <w:rPr>
                <w:rFonts w:hint="eastAsia" w:hAnsi="仿宋_GB2312" w:cs="仿宋_GB2312"/>
                <w:sz w:val="24"/>
              </w:rPr>
              <w:t>供应商具有ISO9001质量管理体系认证证书、ISO14001环境管理体系认证证书、OHSAS18001（或ISO45001）职业健康安全管理体系认证证书的每个计2分，最多计6分。[提供认证证书复印件及国家认证认可监督管理委员会官方网站（www.cnca.gov.cn）查询结果截图，证书须在有效期内，认证范围须包含造价相关内容。提供的证明材料不具备、不齐全或不符合要求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80" w:type="dxa"/>
            <w:vAlign w:val="center"/>
          </w:tcPr>
          <w:p>
            <w:pPr>
              <w:spacing w:line="400" w:lineRule="exact"/>
              <w:jc w:val="center"/>
              <w:rPr>
                <w:rFonts w:hAnsi="仿宋_GB2312" w:cs="仿宋_GB2312"/>
                <w:color w:val="auto"/>
                <w:sz w:val="24"/>
              </w:rPr>
            </w:pPr>
            <w:r>
              <w:rPr>
                <w:rFonts w:hint="eastAsia" w:hAnsi="仿宋_GB2312" w:cs="仿宋_GB2312"/>
                <w:color w:val="auto"/>
                <w:sz w:val="24"/>
              </w:rPr>
              <w:t>项目配备（14分）</w:t>
            </w:r>
          </w:p>
        </w:tc>
        <w:tc>
          <w:tcPr>
            <w:tcW w:w="8370" w:type="dxa"/>
            <w:vAlign w:val="center"/>
          </w:tcPr>
          <w:p>
            <w:pPr>
              <w:numPr>
                <w:ilvl w:val="0"/>
                <w:numId w:val="4"/>
              </w:numPr>
              <w:spacing w:line="400" w:lineRule="exact"/>
              <w:jc w:val="left"/>
              <w:rPr>
                <w:rFonts w:hAnsi="仿宋_GB2312" w:cs="仿宋_GB2312"/>
                <w:color w:val="auto"/>
                <w:sz w:val="24"/>
              </w:rPr>
            </w:pPr>
            <w:r>
              <w:rPr>
                <w:rFonts w:hint="eastAsia" w:hAnsi="仿宋_GB2312" w:cs="仿宋_GB2312"/>
                <w:color w:val="auto"/>
                <w:sz w:val="24"/>
              </w:rPr>
              <w:t>项目负责人具备高级及以上职称的计3分；具备中级职称的计1分，不具备得0分。须提供职称证书复印件并加盖供应商公章，否则不计分。</w:t>
            </w:r>
          </w:p>
          <w:p>
            <w:pPr>
              <w:spacing w:line="400" w:lineRule="exact"/>
              <w:jc w:val="left"/>
              <w:rPr>
                <w:rFonts w:hAnsi="仿宋_GB2312" w:cs="仿宋_GB2312"/>
                <w:color w:val="auto"/>
                <w:sz w:val="24"/>
              </w:rPr>
            </w:pPr>
            <w:r>
              <w:rPr>
                <w:rFonts w:hint="eastAsia" w:hAnsi="仿宋_GB2312" w:cs="仿宋_GB2312"/>
                <w:color w:val="auto"/>
                <w:sz w:val="24"/>
              </w:rPr>
              <w:t>2、投入本项目的一级注册造价工程师在1名的基础上每增加一名的加2分，最多加6分。须提供住建部颁发的注册造价工程师证书复印件并加盖供应商公章，否则不计分。</w:t>
            </w:r>
          </w:p>
          <w:p>
            <w:pPr>
              <w:spacing w:line="400" w:lineRule="exact"/>
              <w:jc w:val="left"/>
              <w:rPr>
                <w:rFonts w:hint="eastAsia" w:hAnsi="仿宋_GB2312" w:cs="仿宋_GB2312"/>
                <w:color w:val="auto"/>
                <w:sz w:val="24"/>
              </w:rPr>
            </w:pPr>
            <w:r>
              <w:rPr>
                <w:rFonts w:hint="eastAsia" w:hAnsi="仿宋_GB2312" w:cs="仿宋_GB2312"/>
                <w:color w:val="auto"/>
                <w:sz w:val="24"/>
              </w:rPr>
              <w:t>3、能够提供株洲本地办公场地证明的计5分，未提供的计0分。</w:t>
            </w:r>
          </w:p>
          <w:p>
            <w:pPr>
              <w:spacing w:line="400" w:lineRule="exact"/>
              <w:jc w:val="left"/>
              <w:rPr>
                <w:rFonts w:hAnsi="仿宋_GB2312" w:cs="仿宋_GB2312"/>
                <w:color w:val="auto"/>
                <w:sz w:val="24"/>
              </w:rPr>
            </w:pPr>
            <w:r>
              <w:rPr>
                <w:rFonts w:hint="eastAsia" w:hAnsi="仿宋_GB2312" w:cs="仿宋_GB2312"/>
                <w:color w:val="auto"/>
                <w:sz w:val="24"/>
              </w:rPr>
              <w:t>须提供投标单位为项目负责人及项目团队人员缴纳的近半年（2023年10月-2024年2月）内任意连续三个月的社保证明，否则不计分。注：如所配备人员为退休返聘人员，应提供相关证明材料。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80" w:type="dxa"/>
            <w:vAlign w:val="center"/>
          </w:tcPr>
          <w:p>
            <w:pPr>
              <w:spacing w:line="400" w:lineRule="exact"/>
              <w:jc w:val="center"/>
              <w:rPr>
                <w:rFonts w:hAnsi="仿宋_GB2312" w:cs="仿宋_GB2312"/>
                <w:sz w:val="24"/>
              </w:rPr>
            </w:pPr>
            <w:r>
              <w:rPr>
                <w:rFonts w:hint="eastAsia" w:hAnsi="仿宋_GB2312" w:cs="仿宋_GB2312"/>
                <w:sz w:val="24"/>
              </w:rPr>
              <w:t>总分</w:t>
            </w:r>
          </w:p>
        </w:tc>
        <w:tc>
          <w:tcPr>
            <w:tcW w:w="8370" w:type="dxa"/>
            <w:vAlign w:val="center"/>
          </w:tcPr>
          <w:p>
            <w:pPr>
              <w:spacing w:line="400" w:lineRule="exact"/>
              <w:jc w:val="center"/>
              <w:rPr>
                <w:rFonts w:hAnsi="仿宋_GB2312" w:cs="仿宋_GB2312"/>
                <w:sz w:val="24"/>
              </w:rPr>
            </w:pPr>
            <w:r>
              <w:rPr>
                <w:rFonts w:hint="eastAsia" w:hAnsi="仿宋_GB2312" w:cs="仿宋_GB2312"/>
                <w:sz w:val="24"/>
              </w:rPr>
              <w:t>100分</w:t>
            </w:r>
          </w:p>
        </w:tc>
      </w:tr>
    </w:tbl>
    <w:p>
      <w:pPr>
        <w:spacing w:before="156" w:beforeLines="50" w:line="360" w:lineRule="auto"/>
        <w:ind w:firstLine="480" w:firstLineChars="200"/>
        <w:rPr>
          <w:rFonts w:ascii="宋体" w:hAnsi="宋体" w:cs="宋体"/>
          <w:sz w:val="24"/>
        </w:rPr>
      </w:pPr>
      <w:r>
        <w:rPr>
          <w:rFonts w:hint="eastAsia" w:ascii="宋体" w:hAnsi="宋体" w:cs="宋体"/>
          <w:sz w:val="24"/>
        </w:rPr>
        <w:t>2、有下述情况之一的，评标委员会应当认定其为不合格投标人：</w:t>
      </w:r>
    </w:p>
    <w:p>
      <w:pPr>
        <w:spacing w:line="360" w:lineRule="auto"/>
        <w:ind w:firstLine="480" w:firstLineChars="200"/>
        <w:rPr>
          <w:rFonts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pPr>
        <w:spacing w:line="360" w:lineRule="auto"/>
        <w:ind w:firstLine="480" w:firstLineChars="200"/>
        <w:rPr>
          <w:rFonts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pPr>
        <w:spacing w:line="360" w:lineRule="auto"/>
        <w:ind w:firstLine="480" w:firstLineChars="200"/>
        <w:rPr>
          <w:rFonts w:ascii="宋体" w:hAnsi="宋体" w:cs="宋体"/>
          <w:sz w:val="24"/>
        </w:rPr>
      </w:pPr>
      <w:r>
        <w:rPr>
          <w:rFonts w:hint="eastAsia" w:ascii="宋体" w:hAnsi="宋体" w:cs="宋体"/>
          <w:sz w:val="24"/>
        </w:rPr>
        <w:t xml:space="preserve">（3）不具备招标文件中规定资格要求的； </w:t>
      </w:r>
    </w:p>
    <w:p>
      <w:pPr>
        <w:spacing w:line="360" w:lineRule="auto"/>
        <w:ind w:firstLine="480" w:firstLineChars="200"/>
        <w:rPr>
          <w:rFonts w:ascii="宋体" w:hAnsi="宋体" w:cs="宋体"/>
          <w:sz w:val="24"/>
        </w:rPr>
      </w:pPr>
      <w:r>
        <w:rPr>
          <w:rFonts w:hint="eastAsia" w:ascii="宋体" w:hAnsi="宋体" w:cs="宋体"/>
          <w:sz w:val="24"/>
        </w:rPr>
        <w:t>（4）投标人递交两份或多份内容不同的投标文件的；</w:t>
      </w:r>
    </w:p>
    <w:p>
      <w:pPr>
        <w:spacing w:line="360" w:lineRule="auto"/>
        <w:ind w:firstLine="480" w:firstLineChars="200"/>
        <w:rPr>
          <w:rFonts w:ascii="宋体" w:hAnsi="宋体" w:cs="宋体"/>
          <w:sz w:val="24"/>
        </w:rPr>
      </w:pPr>
      <w:r>
        <w:rPr>
          <w:rFonts w:hint="eastAsia" w:ascii="宋体" w:hAnsi="宋体" w:cs="宋体"/>
          <w:sz w:val="24"/>
        </w:rPr>
        <w:t>（5）以行贿手段谋取中标或者不如实提供有关情况、文件、证明等资料及以其他弄虚作假方式投标的；</w:t>
      </w:r>
    </w:p>
    <w:p>
      <w:pPr>
        <w:spacing w:line="360" w:lineRule="auto"/>
        <w:ind w:firstLine="480" w:firstLineChars="200"/>
        <w:rPr>
          <w:rFonts w:ascii="宋体" w:hAnsi="宋体" w:cs="宋体"/>
          <w:sz w:val="24"/>
        </w:rPr>
      </w:pPr>
      <w:r>
        <w:rPr>
          <w:rFonts w:hint="eastAsia" w:ascii="宋体" w:hAnsi="宋体" w:cs="宋体"/>
          <w:sz w:val="24"/>
        </w:rPr>
        <w:t>（6）其它不符合法律法规和招标文件相关形式规定的；</w:t>
      </w:r>
    </w:p>
    <w:p>
      <w:pPr>
        <w:spacing w:line="360" w:lineRule="auto"/>
        <w:ind w:firstLine="480" w:firstLineChars="200"/>
        <w:rPr>
          <w:rFonts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4、经评标委员会评审，所有投标文件均被否决的，招标人应当依法重新招标。</w:t>
      </w:r>
    </w:p>
    <w:p>
      <w:pPr>
        <w:spacing w:line="360" w:lineRule="auto"/>
        <w:ind w:firstLine="482" w:firstLineChars="200"/>
      </w:pPr>
      <w:r>
        <w:rPr>
          <w:rFonts w:hint="eastAsia" w:ascii="宋体" w:hAnsi="宋体" w:cs="宋体"/>
          <w:b/>
          <w:bCs/>
          <w:sz w:val="24"/>
        </w:rPr>
        <w:t>本评标办法仅适用于本项目。</w:t>
      </w:r>
    </w:p>
    <w:p/>
    <w:sectPr>
      <w:headerReference r:id="rId3" w:type="default"/>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9A0A2"/>
    <w:multiLevelType w:val="singleLevel"/>
    <w:tmpl w:val="B8A9A0A2"/>
    <w:lvl w:ilvl="0" w:tentative="0">
      <w:start w:val="1"/>
      <w:numFmt w:val="chineseCounting"/>
      <w:suff w:val="nothing"/>
      <w:lvlText w:val="%1、"/>
      <w:lvlJc w:val="left"/>
      <w:rPr>
        <w:rFonts w:hint="eastAsia"/>
        <w:lang w:val="en-US"/>
      </w:rPr>
    </w:lvl>
  </w:abstractNum>
  <w:abstractNum w:abstractNumId="1">
    <w:nsid w:val="3A5DD33A"/>
    <w:multiLevelType w:val="singleLevel"/>
    <w:tmpl w:val="3A5DD33A"/>
    <w:lvl w:ilvl="0" w:tentative="0">
      <w:start w:val="1"/>
      <w:numFmt w:val="decimal"/>
      <w:suff w:val="nothing"/>
      <w:lvlText w:val="%1、"/>
      <w:lvlJc w:val="left"/>
    </w:lvl>
  </w:abstractNum>
  <w:abstractNum w:abstractNumId="2">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MjdiZDgzNmRlYmRjNzRiMTE3MzNlMjZkNzhmMWUifQ=="/>
  </w:docVars>
  <w:rsids>
    <w:rsidRoot w:val="007C7C41"/>
    <w:rsid w:val="0002432A"/>
    <w:rsid w:val="00026832"/>
    <w:rsid w:val="0004220C"/>
    <w:rsid w:val="000B4AC9"/>
    <w:rsid w:val="000C2AAD"/>
    <w:rsid w:val="000C4FCD"/>
    <w:rsid w:val="000C7B07"/>
    <w:rsid w:val="000D17C4"/>
    <w:rsid w:val="000D2C1F"/>
    <w:rsid w:val="000E208E"/>
    <w:rsid w:val="000E22D8"/>
    <w:rsid w:val="000E2FCA"/>
    <w:rsid w:val="000E3EB7"/>
    <w:rsid w:val="000E6B0E"/>
    <w:rsid w:val="000F59A8"/>
    <w:rsid w:val="00103E0F"/>
    <w:rsid w:val="001041D4"/>
    <w:rsid w:val="001111B1"/>
    <w:rsid w:val="001112DE"/>
    <w:rsid w:val="00113DE3"/>
    <w:rsid w:val="001229C1"/>
    <w:rsid w:val="001378A6"/>
    <w:rsid w:val="001407DC"/>
    <w:rsid w:val="00147AE1"/>
    <w:rsid w:val="001508AD"/>
    <w:rsid w:val="00176BAF"/>
    <w:rsid w:val="001819C1"/>
    <w:rsid w:val="00185494"/>
    <w:rsid w:val="0019333A"/>
    <w:rsid w:val="001B2139"/>
    <w:rsid w:val="001C3297"/>
    <w:rsid w:val="001D36D3"/>
    <w:rsid w:val="001F5991"/>
    <w:rsid w:val="001F7DBC"/>
    <w:rsid w:val="00202942"/>
    <w:rsid w:val="002053A9"/>
    <w:rsid w:val="00206640"/>
    <w:rsid w:val="00215E79"/>
    <w:rsid w:val="00220D7A"/>
    <w:rsid w:val="0023261F"/>
    <w:rsid w:val="00265E3A"/>
    <w:rsid w:val="00266420"/>
    <w:rsid w:val="002802E5"/>
    <w:rsid w:val="002837F0"/>
    <w:rsid w:val="00285835"/>
    <w:rsid w:val="00291B18"/>
    <w:rsid w:val="002A4AE2"/>
    <w:rsid w:val="002B187F"/>
    <w:rsid w:val="002B2B07"/>
    <w:rsid w:val="002C024E"/>
    <w:rsid w:val="002C2671"/>
    <w:rsid w:val="002E247B"/>
    <w:rsid w:val="002F6DB9"/>
    <w:rsid w:val="00311AEF"/>
    <w:rsid w:val="0033452A"/>
    <w:rsid w:val="003409D6"/>
    <w:rsid w:val="00342556"/>
    <w:rsid w:val="00350BE7"/>
    <w:rsid w:val="00354EDA"/>
    <w:rsid w:val="003552E1"/>
    <w:rsid w:val="00361DF5"/>
    <w:rsid w:val="00376BAC"/>
    <w:rsid w:val="003839A4"/>
    <w:rsid w:val="00384497"/>
    <w:rsid w:val="003961FC"/>
    <w:rsid w:val="003978F7"/>
    <w:rsid w:val="003B018F"/>
    <w:rsid w:val="003C2587"/>
    <w:rsid w:val="003E08E9"/>
    <w:rsid w:val="00404AB4"/>
    <w:rsid w:val="00414168"/>
    <w:rsid w:val="004225D5"/>
    <w:rsid w:val="004244CC"/>
    <w:rsid w:val="00434A15"/>
    <w:rsid w:val="00444647"/>
    <w:rsid w:val="004470A7"/>
    <w:rsid w:val="004473FA"/>
    <w:rsid w:val="00460139"/>
    <w:rsid w:val="004628AB"/>
    <w:rsid w:val="00463B93"/>
    <w:rsid w:val="004719E3"/>
    <w:rsid w:val="00474429"/>
    <w:rsid w:val="004841A8"/>
    <w:rsid w:val="00494B92"/>
    <w:rsid w:val="004A0F69"/>
    <w:rsid w:val="004A47B4"/>
    <w:rsid w:val="004A4A1C"/>
    <w:rsid w:val="004B69EE"/>
    <w:rsid w:val="004C683A"/>
    <w:rsid w:val="004D1E1D"/>
    <w:rsid w:val="004D35B2"/>
    <w:rsid w:val="004D683E"/>
    <w:rsid w:val="004E1784"/>
    <w:rsid w:val="004E1F26"/>
    <w:rsid w:val="004E7358"/>
    <w:rsid w:val="004F3BA6"/>
    <w:rsid w:val="005038C5"/>
    <w:rsid w:val="00507808"/>
    <w:rsid w:val="005206B0"/>
    <w:rsid w:val="00521121"/>
    <w:rsid w:val="005279A6"/>
    <w:rsid w:val="00534A9A"/>
    <w:rsid w:val="005421CC"/>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524"/>
    <w:rsid w:val="00634053"/>
    <w:rsid w:val="006377EA"/>
    <w:rsid w:val="0065340C"/>
    <w:rsid w:val="00655E0C"/>
    <w:rsid w:val="0067546C"/>
    <w:rsid w:val="0068371B"/>
    <w:rsid w:val="006A056B"/>
    <w:rsid w:val="006B274D"/>
    <w:rsid w:val="006B5265"/>
    <w:rsid w:val="006C0664"/>
    <w:rsid w:val="006E407C"/>
    <w:rsid w:val="006F43C4"/>
    <w:rsid w:val="00700865"/>
    <w:rsid w:val="00706CE7"/>
    <w:rsid w:val="00712128"/>
    <w:rsid w:val="00712F84"/>
    <w:rsid w:val="007154F1"/>
    <w:rsid w:val="00722BBF"/>
    <w:rsid w:val="00731F69"/>
    <w:rsid w:val="00750DC3"/>
    <w:rsid w:val="00773AC8"/>
    <w:rsid w:val="00785A55"/>
    <w:rsid w:val="007A6C65"/>
    <w:rsid w:val="007B01B3"/>
    <w:rsid w:val="007B05D1"/>
    <w:rsid w:val="007C7C41"/>
    <w:rsid w:val="007D2559"/>
    <w:rsid w:val="007D4892"/>
    <w:rsid w:val="007D6D66"/>
    <w:rsid w:val="007D6E0E"/>
    <w:rsid w:val="007E0833"/>
    <w:rsid w:val="00801062"/>
    <w:rsid w:val="00810469"/>
    <w:rsid w:val="00813A79"/>
    <w:rsid w:val="00825689"/>
    <w:rsid w:val="00826C2A"/>
    <w:rsid w:val="008655EF"/>
    <w:rsid w:val="00870587"/>
    <w:rsid w:val="00877D26"/>
    <w:rsid w:val="00885372"/>
    <w:rsid w:val="00885BB1"/>
    <w:rsid w:val="008A10B6"/>
    <w:rsid w:val="008A5D13"/>
    <w:rsid w:val="008B48B2"/>
    <w:rsid w:val="008E54DB"/>
    <w:rsid w:val="008E66EB"/>
    <w:rsid w:val="00903C20"/>
    <w:rsid w:val="00906CC5"/>
    <w:rsid w:val="00921051"/>
    <w:rsid w:val="00927127"/>
    <w:rsid w:val="009368D3"/>
    <w:rsid w:val="00937D1C"/>
    <w:rsid w:val="00951FAE"/>
    <w:rsid w:val="00961C65"/>
    <w:rsid w:val="00965F15"/>
    <w:rsid w:val="009754C8"/>
    <w:rsid w:val="009A1D1C"/>
    <w:rsid w:val="009B35B4"/>
    <w:rsid w:val="009B5FB6"/>
    <w:rsid w:val="009F136A"/>
    <w:rsid w:val="009F30ED"/>
    <w:rsid w:val="00A12750"/>
    <w:rsid w:val="00A16F7A"/>
    <w:rsid w:val="00A20E43"/>
    <w:rsid w:val="00A23BA5"/>
    <w:rsid w:val="00A35BB7"/>
    <w:rsid w:val="00A37FF5"/>
    <w:rsid w:val="00A42360"/>
    <w:rsid w:val="00A5392D"/>
    <w:rsid w:val="00A53A34"/>
    <w:rsid w:val="00A74CD8"/>
    <w:rsid w:val="00A77A98"/>
    <w:rsid w:val="00A81F44"/>
    <w:rsid w:val="00A91450"/>
    <w:rsid w:val="00A95092"/>
    <w:rsid w:val="00AA145B"/>
    <w:rsid w:val="00AB4256"/>
    <w:rsid w:val="00AC45ED"/>
    <w:rsid w:val="00AC51EC"/>
    <w:rsid w:val="00AD6534"/>
    <w:rsid w:val="00B0175F"/>
    <w:rsid w:val="00B22937"/>
    <w:rsid w:val="00B3412E"/>
    <w:rsid w:val="00B35BE1"/>
    <w:rsid w:val="00B37B00"/>
    <w:rsid w:val="00B52059"/>
    <w:rsid w:val="00B56A7F"/>
    <w:rsid w:val="00B66748"/>
    <w:rsid w:val="00B7493C"/>
    <w:rsid w:val="00B81ED0"/>
    <w:rsid w:val="00B87532"/>
    <w:rsid w:val="00B931B4"/>
    <w:rsid w:val="00BA2B80"/>
    <w:rsid w:val="00BB0BBD"/>
    <w:rsid w:val="00BD0325"/>
    <w:rsid w:val="00BE0D00"/>
    <w:rsid w:val="00BE125F"/>
    <w:rsid w:val="00BF5E60"/>
    <w:rsid w:val="00C10E71"/>
    <w:rsid w:val="00C56430"/>
    <w:rsid w:val="00C73F58"/>
    <w:rsid w:val="00CA2BEB"/>
    <w:rsid w:val="00CB7695"/>
    <w:rsid w:val="00CC512E"/>
    <w:rsid w:val="00CC68B0"/>
    <w:rsid w:val="00CD6C9C"/>
    <w:rsid w:val="00CF1803"/>
    <w:rsid w:val="00D069B4"/>
    <w:rsid w:val="00D159D5"/>
    <w:rsid w:val="00D1625A"/>
    <w:rsid w:val="00D379A2"/>
    <w:rsid w:val="00D42DED"/>
    <w:rsid w:val="00D70A69"/>
    <w:rsid w:val="00D75527"/>
    <w:rsid w:val="00D80103"/>
    <w:rsid w:val="00D85CA0"/>
    <w:rsid w:val="00D93253"/>
    <w:rsid w:val="00D9421F"/>
    <w:rsid w:val="00DA061F"/>
    <w:rsid w:val="00DA340E"/>
    <w:rsid w:val="00DA67B2"/>
    <w:rsid w:val="00DB2CAE"/>
    <w:rsid w:val="00DB5AB0"/>
    <w:rsid w:val="00DF2E12"/>
    <w:rsid w:val="00E17DCF"/>
    <w:rsid w:val="00E17F55"/>
    <w:rsid w:val="00E250FD"/>
    <w:rsid w:val="00E271E4"/>
    <w:rsid w:val="00E31455"/>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10332"/>
    <w:rsid w:val="00F43369"/>
    <w:rsid w:val="00F74538"/>
    <w:rsid w:val="00F7673C"/>
    <w:rsid w:val="00F87DB3"/>
    <w:rsid w:val="00F93939"/>
    <w:rsid w:val="00FB34C2"/>
    <w:rsid w:val="00FB54AC"/>
    <w:rsid w:val="00FB6547"/>
    <w:rsid w:val="00FB69EE"/>
    <w:rsid w:val="00FB6DDB"/>
    <w:rsid w:val="00FB71AB"/>
    <w:rsid w:val="00FB7D38"/>
    <w:rsid w:val="00FC53F2"/>
    <w:rsid w:val="00FE2A63"/>
    <w:rsid w:val="00FF2603"/>
    <w:rsid w:val="024018DF"/>
    <w:rsid w:val="04114082"/>
    <w:rsid w:val="06C9325F"/>
    <w:rsid w:val="11AA79EB"/>
    <w:rsid w:val="12476873"/>
    <w:rsid w:val="145F6D78"/>
    <w:rsid w:val="15DD1DF8"/>
    <w:rsid w:val="1C0E2CEB"/>
    <w:rsid w:val="1CB15175"/>
    <w:rsid w:val="1E6A6074"/>
    <w:rsid w:val="24AC4A25"/>
    <w:rsid w:val="2A166BC1"/>
    <w:rsid w:val="2D6F69C0"/>
    <w:rsid w:val="358A2DE4"/>
    <w:rsid w:val="36993C98"/>
    <w:rsid w:val="36A42976"/>
    <w:rsid w:val="371A4C8C"/>
    <w:rsid w:val="3744399B"/>
    <w:rsid w:val="38136454"/>
    <w:rsid w:val="3B0F6ACC"/>
    <w:rsid w:val="3BEE6177"/>
    <w:rsid w:val="3D422619"/>
    <w:rsid w:val="40E616BA"/>
    <w:rsid w:val="4349552E"/>
    <w:rsid w:val="4390748B"/>
    <w:rsid w:val="45EE264F"/>
    <w:rsid w:val="47EE40E5"/>
    <w:rsid w:val="47F87C39"/>
    <w:rsid w:val="49FF0303"/>
    <w:rsid w:val="507A645F"/>
    <w:rsid w:val="53B31AE1"/>
    <w:rsid w:val="54F16ABB"/>
    <w:rsid w:val="586340B6"/>
    <w:rsid w:val="597B5CF8"/>
    <w:rsid w:val="5CE13DF9"/>
    <w:rsid w:val="5D7E5824"/>
    <w:rsid w:val="645E6340"/>
    <w:rsid w:val="665146E0"/>
    <w:rsid w:val="66A61F9B"/>
    <w:rsid w:val="68320EBE"/>
    <w:rsid w:val="68840209"/>
    <w:rsid w:val="696372E0"/>
    <w:rsid w:val="6CCB679F"/>
    <w:rsid w:val="7151042E"/>
    <w:rsid w:val="76A0780E"/>
    <w:rsid w:val="777D621D"/>
    <w:rsid w:val="7D415502"/>
    <w:rsid w:val="7EC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autoRedefine/>
    <w:qFormat/>
    <w:uiPriority w:val="0"/>
    <w:pPr>
      <w:jc w:val="center"/>
      <w:outlineLvl w:val="0"/>
    </w:pPr>
    <w:rPr>
      <w:szCs w:val="20"/>
    </w:rPr>
  </w:style>
  <w:style w:type="paragraph" w:styleId="3">
    <w:name w:val="heading 2"/>
    <w:basedOn w:val="1"/>
    <w:next w:val="1"/>
    <w:link w:val="84"/>
    <w:autoRedefine/>
    <w:qFormat/>
    <w:uiPriority w:val="0"/>
    <w:pPr>
      <w:keepNext/>
      <w:keepLines/>
      <w:spacing w:line="360" w:lineRule="auto"/>
      <w:outlineLvl w:val="1"/>
    </w:pPr>
    <w:rPr>
      <w:rFonts w:ascii="Arial" w:hAnsi="Arial"/>
      <w:b/>
      <w:bCs/>
      <w:sz w:val="24"/>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firstLineChars="200"/>
    </w:pPr>
    <w:rPr>
      <w:rFonts w:ascii="Calibri" w:hAnsi="Calibri"/>
      <w:sz w:val="24"/>
      <w:szCs w:val="22"/>
    </w:rPr>
  </w:style>
  <w:style w:type="paragraph" w:customStyle="1" w:styleId="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annotation text"/>
    <w:basedOn w:val="1"/>
    <w:link w:val="88"/>
    <w:autoRedefine/>
    <w:semiHidden/>
    <w:unhideWhenUsed/>
    <w:qFormat/>
    <w:uiPriority w:val="0"/>
    <w:pPr>
      <w:jc w:val="left"/>
    </w:pPr>
  </w:style>
  <w:style w:type="paragraph" w:styleId="7">
    <w:name w:val="Body Text"/>
    <w:basedOn w:val="1"/>
    <w:next w:val="5"/>
    <w:link w:val="85"/>
    <w:autoRedefine/>
    <w:qFormat/>
    <w:uiPriority w:val="0"/>
    <w:pPr>
      <w:spacing w:after="120"/>
    </w:pPr>
  </w:style>
  <w:style w:type="paragraph" w:styleId="8">
    <w:name w:val="Body Text Indent"/>
    <w:basedOn w:val="1"/>
    <w:link w:val="80"/>
    <w:autoRedefine/>
    <w:qFormat/>
    <w:uiPriority w:val="0"/>
    <w:pPr>
      <w:adjustRightInd w:val="0"/>
      <w:snapToGrid w:val="0"/>
      <w:spacing w:line="360" w:lineRule="atLeast"/>
      <w:ind w:firstLine="480"/>
    </w:pPr>
    <w:rPr>
      <w:sz w:val="24"/>
    </w:rPr>
  </w:style>
  <w:style w:type="paragraph" w:styleId="9">
    <w:name w:val="Balloon Text"/>
    <w:basedOn w:val="1"/>
    <w:autoRedefine/>
    <w:semiHidden/>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Body Text 2"/>
    <w:basedOn w:val="1"/>
    <w:link w:val="82"/>
    <w:autoRedefine/>
    <w:qFormat/>
    <w:uiPriority w:val="0"/>
    <w:pPr>
      <w:spacing w:after="120" w:line="480" w:lineRule="auto"/>
    </w:p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5">
    <w:name w:val="annotation subject"/>
    <w:basedOn w:val="6"/>
    <w:next w:val="6"/>
    <w:link w:val="89"/>
    <w:autoRedefine/>
    <w:semiHidden/>
    <w:unhideWhenUsed/>
    <w:qFormat/>
    <w:uiPriority w:val="0"/>
    <w:rPr>
      <w:b/>
      <w:bCs/>
    </w:rPr>
  </w:style>
  <w:style w:type="paragraph" w:styleId="16">
    <w:name w:val="Body Text First Indent 2"/>
    <w:basedOn w:val="8"/>
    <w:link w:val="81"/>
    <w:autoRedefine/>
    <w:qFormat/>
    <w:uiPriority w:val="0"/>
    <w:pPr>
      <w:adjustRightInd/>
      <w:snapToGrid/>
      <w:spacing w:after="120" w:line="240" w:lineRule="auto"/>
      <w:ind w:left="420" w:leftChars="200" w:firstLine="420" w:firstLineChars="200"/>
    </w:pPr>
    <w:rPr>
      <w:sz w:val="21"/>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FollowedHyperlink"/>
    <w:autoRedefine/>
    <w:unhideWhenUsed/>
    <w:qFormat/>
    <w:uiPriority w:val="99"/>
    <w:rPr>
      <w:color w:val="800080"/>
      <w:u w:val="single"/>
    </w:rPr>
  </w:style>
  <w:style w:type="character" w:styleId="22">
    <w:name w:val="Emphasis"/>
    <w:autoRedefine/>
    <w:qFormat/>
    <w:uiPriority w:val="0"/>
    <w:rPr>
      <w:color w:val="CC0000"/>
    </w:rPr>
  </w:style>
  <w:style w:type="character" w:styleId="23">
    <w:name w:val="Hyperlink"/>
    <w:autoRedefine/>
    <w:qFormat/>
    <w:uiPriority w:val="99"/>
    <w:rPr>
      <w:color w:val="990000"/>
      <w:sz w:val="18"/>
      <w:szCs w:val="18"/>
      <w:u w:val="none"/>
    </w:rPr>
  </w:style>
  <w:style w:type="character" w:styleId="24">
    <w:name w:val="annotation reference"/>
    <w:basedOn w:val="19"/>
    <w:autoRedefine/>
    <w:semiHidden/>
    <w:unhideWhenUsed/>
    <w:qFormat/>
    <w:uiPriority w:val="0"/>
    <w:rPr>
      <w:sz w:val="21"/>
      <w:szCs w:val="21"/>
    </w:rPr>
  </w:style>
  <w:style w:type="character" w:customStyle="1" w:styleId="25">
    <w:name w:val="style21"/>
    <w:autoRedefine/>
    <w:qFormat/>
    <w:uiPriority w:val="0"/>
    <w:rPr>
      <w:sz w:val="22"/>
      <w:szCs w:val="22"/>
    </w:rPr>
  </w:style>
  <w:style w:type="character" w:customStyle="1" w:styleId="26">
    <w:name w:val="font21"/>
    <w:autoRedefine/>
    <w:qFormat/>
    <w:uiPriority w:val="0"/>
    <w:rPr>
      <w:rFonts w:hint="eastAsia" w:ascii="宋体" w:hAnsi="宋体" w:eastAsia="宋体" w:cs="宋体"/>
      <w:color w:val="000000"/>
      <w:sz w:val="20"/>
      <w:szCs w:val="20"/>
      <w:u w:val="none"/>
    </w:rPr>
  </w:style>
  <w:style w:type="character" w:customStyle="1" w:styleId="27">
    <w:name w:val="font41"/>
    <w:autoRedefine/>
    <w:qFormat/>
    <w:uiPriority w:val="0"/>
    <w:rPr>
      <w:rFonts w:ascii="微软雅黑" w:hAnsi="微软雅黑" w:eastAsia="微软雅黑" w:cs="微软雅黑"/>
      <w:b/>
      <w:color w:val="000000"/>
      <w:sz w:val="40"/>
      <w:szCs w:val="40"/>
      <w:u w:val="none"/>
    </w:rPr>
  </w:style>
  <w:style w:type="character" w:customStyle="1" w:styleId="28">
    <w:name w:val="font01"/>
    <w:autoRedefine/>
    <w:qFormat/>
    <w:uiPriority w:val="0"/>
    <w:rPr>
      <w:rFonts w:hint="eastAsia" w:ascii="宋体" w:hAnsi="宋体" w:eastAsia="宋体" w:cs="宋体"/>
      <w:color w:val="000000"/>
      <w:sz w:val="22"/>
      <w:szCs w:val="22"/>
      <w:u w:val="none"/>
    </w:rPr>
  </w:style>
  <w:style w:type="character" w:customStyle="1" w:styleId="29">
    <w:name w:val="font31"/>
    <w:autoRedefine/>
    <w:qFormat/>
    <w:uiPriority w:val="0"/>
    <w:rPr>
      <w:rFonts w:hint="eastAsia" w:ascii="微软雅黑" w:hAnsi="微软雅黑" w:eastAsia="微软雅黑" w:cs="微软雅黑"/>
      <w:color w:val="000000"/>
      <w:sz w:val="20"/>
      <w:szCs w:val="20"/>
      <w:u w:val="none"/>
    </w:rPr>
  </w:style>
  <w:style w:type="paragraph" w:customStyle="1" w:styleId="30">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1">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3">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7">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38">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9">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0">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4">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5">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7">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8">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5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60">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63">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6">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7">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68">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6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0">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2">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3">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5">
    <w:name w:val="font51"/>
    <w:basedOn w:val="19"/>
    <w:autoRedefine/>
    <w:qFormat/>
    <w:uiPriority w:val="0"/>
    <w:rPr>
      <w:rFonts w:hint="eastAsia" w:ascii="宋体" w:hAnsi="宋体" w:eastAsia="宋体" w:cs="宋体"/>
      <w:color w:val="000000"/>
      <w:sz w:val="24"/>
      <w:szCs w:val="24"/>
      <w:u w:val="none"/>
    </w:rPr>
  </w:style>
  <w:style w:type="character" w:customStyle="1" w:styleId="76">
    <w:name w:val="font81"/>
    <w:basedOn w:val="19"/>
    <w:autoRedefine/>
    <w:qFormat/>
    <w:uiPriority w:val="0"/>
    <w:rPr>
      <w:rFonts w:hint="eastAsia" w:ascii="宋体" w:hAnsi="宋体" w:eastAsia="宋体" w:cs="宋体"/>
      <w:color w:val="000000"/>
      <w:sz w:val="24"/>
      <w:szCs w:val="24"/>
      <w:u w:val="none"/>
    </w:rPr>
  </w:style>
  <w:style w:type="character" w:customStyle="1" w:styleId="77">
    <w:name w:val="font151"/>
    <w:basedOn w:val="19"/>
    <w:autoRedefine/>
    <w:qFormat/>
    <w:uiPriority w:val="0"/>
    <w:rPr>
      <w:rFonts w:hint="eastAsia" w:ascii="宋体" w:hAnsi="宋体" w:eastAsia="宋体" w:cs="宋体"/>
      <w:b/>
      <w:bCs/>
      <w:color w:val="000000"/>
      <w:sz w:val="24"/>
      <w:szCs w:val="24"/>
      <w:u w:val="none"/>
    </w:rPr>
  </w:style>
  <w:style w:type="character" w:customStyle="1" w:styleId="78">
    <w:name w:val="font161"/>
    <w:basedOn w:val="19"/>
    <w:autoRedefine/>
    <w:qFormat/>
    <w:uiPriority w:val="0"/>
    <w:rPr>
      <w:rFonts w:hint="eastAsia" w:ascii="宋体" w:hAnsi="宋体" w:eastAsia="宋体" w:cs="宋体"/>
      <w:b/>
      <w:bCs/>
      <w:color w:val="000000"/>
      <w:sz w:val="22"/>
      <w:szCs w:val="22"/>
      <w:u w:val="none"/>
    </w:rPr>
  </w:style>
  <w:style w:type="paragraph" w:styleId="79">
    <w:name w:val="List Paragraph"/>
    <w:basedOn w:val="1"/>
    <w:autoRedefine/>
    <w:unhideWhenUsed/>
    <w:qFormat/>
    <w:uiPriority w:val="99"/>
    <w:pPr>
      <w:ind w:firstLine="420" w:firstLineChars="200"/>
    </w:pPr>
  </w:style>
  <w:style w:type="character" w:customStyle="1" w:styleId="80">
    <w:name w:val="正文文本缩进 字符"/>
    <w:basedOn w:val="19"/>
    <w:link w:val="8"/>
    <w:autoRedefine/>
    <w:qFormat/>
    <w:uiPriority w:val="0"/>
    <w:rPr>
      <w:kern w:val="2"/>
      <w:sz w:val="24"/>
      <w:szCs w:val="24"/>
    </w:rPr>
  </w:style>
  <w:style w:type="character" w:customStyle="1" w:styleId="81">
    <w:name w:val="正文文本首行缩进 2 字符"/>
    <w:basedOn w:val="80"/>
    <w:link w:val="16"/>
    <w:autoRedefine/>
    <w:qFormat/>
    <w:uiPriority w:val="0"/>
    <w:rPr>
      <w:kern w:val="2"/>
      <w:sz w:val="24"/>
      <w:szCs w:val="24"/>
    </w:rPr>
  </w:style>
  <w:style w:type="character" w:customStyle="1" w:styleId="82">
    <w:name w:val="正文文本 2 字符"/>
    <w:basedOn w:val="19"/>
    <w:link w:val="13"/>
    <w:autoRedefine/>
    <w:qFormat/>
    <w:uiPriority w:val="0"/>
    <w:rPr>
      <w:kern w:val="2"/>
      <w:sz w:val="21"/>
      <w:szCs w:val="24"/>
    </w:rPr>
  </w:style>
  <w:style w:type="paragraph" w:customStyle="1" w:styleId="83">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84">
    <w:name w:val="标题 2 字符"/>
    <w:basedOn w:val="19"/>
    <w:link w:val="3"/>
    <w:autoRedefine/>
    <w:qFormat/>
    <w:uiPriority w:val="0"/>
    <w:rPr>
      <w:rFonts w:ascii="Arial" w:hAnsi="Arial"/>
      <w:b/>
      <w:bCs/>
      <w:kern w:val="2"/>
      <w:sz w:val="24"/>
      <w:szCs w:val="32"/>
    </w:rPr>
  </w:style>
  <w:style w:type="character" w:customStyle="1" w:styleId="85">
    <w:name w:val="正文文本 字符"/>
    <w:basedOn w:val="19"/>
    <w:link w:val="7"/>
    <w:autoRedefine/>
    <w:qFormat/>
    <w:uiPriority w:val="0"/>
    <w:rPr>
      <w:kern w:val="2"/>
      <w:sz w:val="21"/>
      <w:szCs w:val="24"/>
    </w:rPr>
  </w:style>
  <w:style w:type="paragraph" w:customStyle="1" w:styleId="86">
    <w:name w:val="EndnoteText"/>
    <w:basedOn w:val="1"/>
    <w:autoRedefine/>
    <w:qFormat/>
    <w:uiPriority w:val="0"/>
  </w:style>
  <w:style w:type="paragraph" w:customStyle="1" w:styleId="87">
    <w:name w:val="[基本段落]"/>
    <w:autoRedefine/>
    <w:qFormat/>
    <w:uiPriority w:val="99"/>
    <w:pPr>
      <w:widowControl w:val="0"/>
      <w:autoSpaceDE w:val="0"/>
      <w:autoSpaceDN w:val="0"/>
      <w:adjustRightInd w:val="0"/>
      <w:spacing w:line="288" w:lineRule="auto"/>
      <w:jc w:val="both"/>
      <w:textAlignment w:val="center"/>
    </w:pPr>
    <w:rPr>
      <w:rFonts w:ascii="宋体" w:hAnsi="Calibri" w:eastAsia="宋体" w:cs="Times New Roman"/>
      <w:color w:val="000000"/>
      <w:kern w:val="2"/>
      <w:sz w:val="24"/>
      <w:lang w:val="zh-CN" w:eastAsia="zh-CN" w:bidi="ar-SA"/>
    </w:rPr>
  </w:style>
  <w:style w:type="character" w:customStyle="1" w:styleId="88">
    <w:name w:val="批注文字 字符"/>
    <w:basedOn w:val="19"/>
    <w:link w:val="6"/>
    <w:autoRedefine/>
    <w:semiHidden/>
    <w:qFormat/>
    <w:uiPriority w:val="0"/>
    <w:rPr>
      <w:kern w:val="2"/>
      <w:sz w:val="21"/>
      <w:szCs w:val="24"/>
    </w:rPr>
  </w:style>
  <w:style w:type="character" w:customStyle="1" w:styleId="89">
    <w:name w:val="批注主题 字符"/>
    <w:basedOn w:val="88"/>
    <w:link w:val="15"/>
    <w:autoRedefine/>
    <w:semiHidden/>
    <w:qFormat/>
    <w:uiPriority w:val="0"/>
    <w:rPr>
      <w:b/>
      <w:bCs/>
      <w:kern w:val="2"/>
      <w:sz w:val="21"/>
      <w:szCs w:val="24"/>
    </w:rPr>
  </w:style>
  <w:style w:type="character" w:customStyle="1" w:styleId="90">
    <w:name w:val="15"/>
    <w:autoRedefine/>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1436</Words>
  <Characters>8189</Characters>
  <Lines>68</Lines>
  <Paragraphs>19</Paragraphs>
  <TotalTime>4</TotalTime>
  <ScaleCrop>false</ScaleCrop>
  <LinksUpToDate>false</LinksUpToDate>
  <CharactersWithSpaces>9606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2016-03-07T08:05:00Z</dcterms:created>
  <dc:creator>jwc</dc:creator>
  <cp:lastModifiedBy>.oоО镶嵌</cp:lastModifiedBy>
  <cp:lastPrinted>2009-02-17T01:24:00Z</cp:lastPrinted>
  <dcterms:modified xsi:type="dcterms:W3CDTF">2024-03-28T07:27:48Z</dcterms:modified>
  <dc:title>湖南科技大学2005-2006年教材招标</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E1D2149C986546A1AA7D31A1A53D57FD_13</vt:lpwstr>
  </property>
</Properties>
</file>