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EA0F3">
      <w:pPr>
        <w:widowControl/>
        <w:jc w:val="center"/>
        <w:rPr>
          <w:rFonts w:ascii="宋体" w:hAnsi="宋体" w:cs="宋体"/>
          <w:kern w:val="0"/>
          <w:sz w:val="24"/>
        </w:rPr>
      </w:pPr>
      <w:r>
        <w:rPr>
          <w:rFonts w:hint="eastAsia" w:ascii="宋体" w:hAnsi="宋体" w:cs="宋体"/>
          <w:kern w:val="0"/>
          <w:sz w:val="24"/>
        </w:rPr>
        <w:t xml:space="preserve">                                                      </w:t>
      </w:r>
    </w:p>
    <w:p w14:paraId="43853085">
      <w:pPr>
        <w:jc w:val="center"/>
        <w:rPr>
          <w:rFonts w:eastAsia="黑体"/>
          <w:sz w:val="36"/>
        </w:rPr>
      </w:pPr>
    </w:p>
    <w:p w14:paraId="3F663C92">
      <w:pPr>
        <w:jc w:val="center"/>
        <w:rPr>
          <w:rFonts w:eastAsia="黑体"/>
          <w:b/>
          <w:sz w:val="52"/>
          <w:szCs w:val="52"/>
        </w:rPr>
      </w:pPr>
      <w:bookmarkStart w:id="0" w:name="_Hlk160805985"/>
      <w:r>
        <w:rPr>
          <w:rFonts w:hint="eastAsia" w:eastAsia="黑体"/>
          <w:b/>
          <w:sz w:val="52"/>
          <w:szCs w:val="52"/>
        </w:rPr>
        <w:t>湖南化工职业技术学院</w:t>
      </w:r>
    </w:p>
    <w:bookmarkEnd w:id="0"/>
    <w:p w14:paraId="7F7D7EBC">
      <w:pPr>
        <w:spacing w:before="312" w:beforeLines="100"/>
        <w:jc w:val="center"/>
        <w:rPr>
          <w:rFonts w:hint="eastAsia" w:ascii="黑体" w:hAnsi="黑体" w:eastAsia="黑体" w:cs="黑体"/>
          <w:sz w:val="52"/>
          <w:szCs w:val="52"/>
        </w:rPr>
      </w:pPr>
      <w:r>
        <w:rPr>
          <w:rFonts w:hint="eastAsia" w:ascii="黑体" w:hAnsi="黑体" w:eastAsia="黑体" w:cs="黑体"/>
          <w:sz w:val="52"/>
          <w:szCs w:val="52"/>
        </w:rPr>
        <w:t>编制“以湖南化工职业技术学院为基础设立湖南化工职业技术大学事项社会稳定风险评估报告”项目</w:t>
      </w:r>
    </w:p>
    <w:p w14:paraId="2AB55530">
      <w:pPr>
        <w:spacing w:before="312" w:beforeLines="100"/>
        <w:jc w:val="center"/>
        <w:rPr>
          <w:rFonts w:ascii="黑体" w:hAnsi="黑体" w:eastAsia="黑体" w:cs="黑体"/>
          <w:sz w:val="84"/>
          <w:szCs w:val="84"/>
        </w:rPr>
      </w:pPr>
      <w:r>
        <w:rPr>
          <w:rFonts w:hint="eastAsia" w:ascii="黑体" w:hAnsi="黑体" w:eastAsia="黑体" w:cs="黑体"/>
          <w:sz w:val="84"/>
          <w:szCs w:val="84"/>
        </w:rPr>
        <w:t>比选文件</w:t>
      </w:r>
    </w:p>
    <w:p w14:paraId="395D23C9"/>
    <w:p w14:paraId="2EBCDA8B"/>
    <w:p w14:paraId="7C4969D8"/>
    <w:p w14:paraId="1038C0A6"/>
    <w:p w14:paraId="2EB28365"/>
    <w:p w14:paraId="1DD2883D"/>
    <w:p w14:paraId="78CC4C74"/>
    <w:p w14:paraId="3E189EF3"/>
    <w:p w14:paraId="144806DD"/>
    <w:p w14:paraId="090C8BF2"/>
    <w:p w14:paraId="2EB88666"/>
    <w:p w14:paraId="55080962"/>
    <w:p w14:paraId="650FB537"/>
    <w:p w14:paraId="26DC9EC5"/>
    <w:p w14:paraId="2BDE60B8"/>
    <w:p w14:paraId="5FB8ADC6"/>
    <w:p w14:paraId="573E9A23"/>
    <w:p w14:paraId="0C85D98C"/>
    <w:p w14:paraId="35B80F1B"/>
    <w:p w14:paraId="5528C9C3">
      <w:pPr>
        <w:jc w:val="center"/>
        <w:rPr>
          <w:sz w:val="32"/>
        </w:rPr>
      </w:pPr>
      <w:r>
        <w:rPr>
          <w:rFonts w:hint="eastAsia"/>
          <w:sz w:val="32"/>
        </w:rPr>
        <w:t>202</w:t>
      </w:r>
      <w:r>
        <w:rPr>
          <w:rFonts w:hint="eastAsia"/>
          <w:sz w:val="32"/>
          <w:lang w:val="en-US" w:eastAsia="zh-CN"/>
        </w:rPr>
        <w:t>5</w:t>
      </w:r>
      <w:r>
        <w:rPr>
          <w:rFonts w:hint="eastAsia"/>
          <w:sz w:val="32"/>
        </w:rPr>
        <w:t>年</w:t>
      </w:r>
      <w:r>
        <w:rPr>
          <w:rFonts w:hint="eastAsia"/>
          <w:sz w:val="32"/>
          <w:lang w:val="en-US" w:eastAsia="zh-CN"/>
        </w:rPr>
        <w:t>10</w:t>
      </w:r>
      <w:r>
        <w:rPr>
          <w:rFonts w:hint="eastAsia"/>
          <w:sz w:val="32"/>
        </w:rPr>
        <w:t>月</w:t>
      </w:r>
    </w:p>
    <w:p w14:paraId="4CB84E34"/>
    <w:p w14:paraId="0167F986"/>
    <w:p w14:paraId="1866B03C">
      <w:pPr>
        <w:widowControl/>
        <w:spacing w:line="360" w:lineRule="auto"/>
        <w:jc w:val="center"/>
        <w:rPr>
          <w:rFonts w:ascii="宋体" w:hAnsi="宋体" w:cs="宋体"/>
          <w:b/>
          <w:color w:val="auto"/>
          <w:kern w:val="0"/>
          <w:sz w:val="36"/>
          <w:szCs w:val="36"/>
        </w:rPr>
      </w:pPr>
      <w:r>
        <w:rPr>
          <w:rFonts w:hint="eastAsia" w:ascii="宋体" w:hAnsi="宋体" w:cs="宋体"/>
          <w:b/>
          <w:color w:val="auto"/>
          <w:kern w:val="0"/>
          <w:sz w:val="36"/>
          <w:szCs w:val="36"/>
        </w:rPr>
        <w:t>湖南化工职业技术学院</w:t>
      </w:r>
    </w:p>
    <w:p w14:paraId="1CE32EE1">
      <w:pPr>
        <w:spacing w:before="312" w:beforeLines="10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编制“以湖南化工职业技术学院为基础设立湖南化工职业技术大学事项社会稳定风险评估报告”项目</w:t>
      </w:r>
    </w:p>
    <w:p w14:paraId="73F23FB9">
      <w:pPr>
        <w:widowControl/>
        <w:spacing w:line="360" w:lineRule="auto"/>
        <w:jc w:val="center"/>
        <w:rPr>
          <w:rFonts w:ascii="宋体" w:hAnsi="宋体" w:cs="宋体"/>
          <w:b/>
          <w:color w:val="auto"/>
          <w:kern w:val="0"/>
          <w:sz w:val="36"/>
          <w:szCs w:val="36"/>
        </w:rPr>
      </w:pPr>
      <w:r>
        <w:rPr>
          <w:rFonts w:hint="eastAsia" w:ascii="宋体" w:hAnsi="宋体" w:cs="宋体"/>
          <w:b/>
          <w:color w:val="auto"/>
          <w:kern w:val="0"/>
          <w:sz w:val="36"/>
          <w:szCs w:val="36"/>
        </w:rPr>
        <w:t>比选公告</w:t>
      </w:r>
    </w:p>
    <w:p w14:paraId="3284644F">
      <w:pPr>
        <w:pStyle w:val="81"/>
        <w:widowControl/>
        <w:spacing w:line="360" w:lineRule="auto"/>
        <w:ind w:left="420" w:firstLine="480" w:firstLineChars="20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根据《湖南化工职业技术学院招投标管理办法》，我院拟对编制“以湖南化工职业技术学院为基础设立湖南化工职业技术大学事项社会稳定风险评估报告”项目进行招标，现将改项目招投标工作事宜公告如下：</w:t>
      </w:r>
    </w:p>
    <w:p w14:paraId="76FCA0C3">
      <w:pPr>
        <w:widowControl/>
        <w:spacing w:before="124" w:beforeLines="40" w:after="124" w:afterLines="40"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一、</w:t>
      </w:r>
      <w:r>
        <w:rPr>
          <w:rFonts w:hint="eastAsia" w:ascii="宋体" w:hAnsi="宋体" w:cs="宋体"/>
          <w:b/>
          <w:bCs/>
          <w:color w:val="000000"/>
          <w:kern w:val="0"/>
          <w:sz w:val="24"/>
          <w:lang w:eastAsia="zh-CN"/>
        </w:rPr>
        <w:t>采购</w:t>
      </w:r>
      <w:r>
        <w:rPr>
          <w:rFonts w:hint="eastAsia" w:ascii="宋体" w:hAnsi="宋体" w:cs="宋体"/>
          <w:b/>
          <w:bCs/>
          <w:color w:val="000000"/>
          <w:kern w:val="0"/>
          <w:sz w:val="24"/>
        </w:rPr>
        <w:t>项目基本概况</w:t>
      </w:r>
    </w:p>
    <w:p w14:paraId="710ADE26">
      <w:pPr>
        <w:keepNext w:val="0"/>
        <w:keepLines w:val="0"/>
        <w:pageBreakBefore w:val="0"/>
        <w:widowControl/>
        <w:kinsoku/>
        <w:wordWrap/>
        <w:overflowPunct/>
        <w:topLinePunct w:val="0"/>
        <w:autoSpaceDE/>
        <w:autoSpaceDN/>
        <w:bidi w:val="0"/>
        <w:adjustRightInd/>
        <w:snapToGrid/>
        <w:spacing w:before="124" w:beforeLines="40" w:after="124" w:afterLines="40" w:line="360" w:lineRule="auto"/>
        <w:ind w:left="479" w:leftChars="228" w:firstLine="0" w:firstLineChars="0"/>
        <w:textAlignment w:val="auto"/>
        <w:rPr>
          <w:rFonts w:hint="eastAsia" w:ascii="仿宋_GB2312" w:hAnsi="仿宋_GB2312" w:eastAsia="仿宋_GB2312" w:cs="仿宋_GB2312"/>
          <w:i w:val="0"/>
          <w:color w:val="000000"/>
          <w:sz w:val="28"/>
          <w:szCs w:val="28"/>
          <w:lang w:val="en-US" w:eastAsia="zh-CN"/>
        </w:rPr>
      </w:pPr>
      <w:r>
        <w:rPr>
          <w:rFonts w:hint="eastAsia" w:ascii="宋体" w:hAnsi="宋体" w:cs="宋体"/>
          <w:color w:val="000000"/>
          <w:kern w:val="0"/>
          <w:sz w:val="24"/>
        </w:rPr>
        <w:t>1、</w:t>
      </w:r>
      <w:r>
        <w:rPr>
          <w:rFonts w:ascii="宋体" w:hAnsi="宋体" w:cs="宋体"/>
          <w:color w:val="000000"/>
          <w:kern w:val="0"/>
          <w:sz w:val="24"/>
        </w:rPr>
        <w:t>项目名称：</w:t>
      </w:r>
      <w:r>
        <w:rPr>
          <w:rFonts w:hint="eastAsia" w:ascii="宋体" w:hAnsi="宋体" w:eastAsia="宋体" w:cs="宋体"/>
          <w:i w:val="0"/>
          <w:color w:val="000000"/>
          <w:sz w:val="24"/>
          <w:szCs w:val="24"/>
          <w:lang w:val="en-US" w:eastAsia="zh-CN"/>
        </w:rPr>
        <w:t>编制“以湖南化工职业技术学院为基础设立湖南化工职业技术大学事项社会稳定风险评估报告”</w:t>
      </w:r>
      <w:r>
        <w:rPr>
          <w:rFonts w:hint="eastAsia" w:ascii="宋体" w:hAnsi="宋体" w:cs="宋体"/>
          <w:i w:val="0"/>
          <w:color w:val="000000"/>
          <w:sz w:val="24"/>
          <w:szCs w:val="24"/>
          <w:lang w:val="en-US" w:eastAsia="zh-CN"/>
        </w:rPr>
        <w:t>。</w:t>
      </w:r>
    </w:p>
    <w:p w14:paraId="2A5CD330">
      <w:pPr>
        <w:widowControl/>
        <w:spacing w:before="124" w:beforeLines="40" w:after="124" w:afterLines="40" w:line="360" w:lineRule="auto"/>
        <w:ind w:firstLine="480" w:firstLineChars="200"/>
        <w:rPr>
          <w:rFonts w:ascii="宋体" w:hAnsi="宋体" w:cs="宋体"/>
          <w:color w:val="000000"/>
          <w:kern w:val="0"/>
          <w:sz w:val="24"/>
        </w:rPr>
      </w:pPr>
      <w:r>
        <w:rPr>
          <w:rFonts w:hint="eastAsia" w:ascii="宋体" w:hAnsi="宋体" w:cs="宋体"/>
          <w:color w:val="000000"/>
          <w:kern w:val="0"/>
          <w:sz w:val="24"/>
        </w:rPr>
        <w:t>2、采购方式：比选采购</w:t>
      </w:r>
    </w:p>
    <w:p w14:paraId="505B896E">
      <w:pPr>
        <w:widowControl/>
        <w:spacing w:before="124" w:beforeLines="40" w:after="124" w:afterLines="40" w:line="360" w:lineRule="auto"/>
        <w:ind w:firstLine="480" w:firstLineChars="200"/>
        <w:rPr>
          <w:rFonts w:ascii="宋体" w:hAnsi="宋体" w:cs="宋体"/>
          <w:color w:val="000000"/>
          <w:kern w:val="0"/>
          <w:sz w:val="24"/>
        </w:rPr>
      </w:pPr>
      <w:bookmarkStart w:id="1" w:name="_Hlk144221827"/>
      <w:r>
        <w:rPr>
          <w:rFonts w:hint="eastAsia" w:ascii="宋体" w:hAnsi="宋体" w:cs="宋体"/>
          <w:color w:val="000000"/>
          <w:kern w:val="0"/>
          <w:sz w:val="24"/>
        </w:rPr>
        <w:t>3、采购预算：</w:t>
      </w:r>
      <w:r>
        <w:rPr>
          <w:rFonts w:hint="eastAsia" w:ascii="宋体" w:hAnsi="宋体" w:cs="宋体"/>
          <w:kern w:val="0"/>
          <w:sz w:val="24"/>
          <w:lang w:val="en-US" w:eastAsia="zh-CN"/>
        </w:rPr>
        <w:t>4.8</w:t>
      </w:r>
      <w:r>
        <w:rPr>
          <w:rFonts w:hint="eastAsia" w:ascii="宋体" w:hAnsi="宋体" w:cs="宋体"/>
          <w:kern w:val="0"/>
          <w:sz w:val="24"/>
        </w:rPr>
        <w:t>万元</w:t>
      </w:r>
      <w:bookmarkEnd w:id="1"/>
    </w:p>
    <w:p w14:paraId="57744C20">
      <w:pPr>
        <w:widowControl/>
        <w:spacing w:before="124" w:beforeLines="40" w:after="124" w:afterLines="40" w:line="360" w:lineRule="auto"/>
        <w:ind w:firstLine="482" w:firstLineChars="200"/>
        <w:rPr>
          <w:rFonts w:hint="eastAsia" w:ascii="宋体" w:hAnsi="宋体" w:cs="宋体"/>
          <w:b/>
          <w:bCs/>
          <w:color w:val="000000"/>
          <w:kern w:val="0"/>
          <w:sz w:val="24"/>
        </w:rPr>
      </w:pPr>
      <w:r>
        <w:rPr>
          <w:rFonts w:hint="eastAsia" w:ascii="宋体" w:hAnsi="宋体" w:cs="宋体"/>
          <w:b/>
          <w:bCs/>
          <w:color w:val="000000"/>
          <w:kern w:val="0"/>
          <w:sz w:val="24"/>
          <w:lang w:val="en-US" w:eastAsia="zh-CN"/>
        </w:rPr>
        <w:t>二</w:t>
      </w:r>
      <w:r>
        <w:rPr>
          <w:rFonts w:hint="eastAsia" w:ascii="宋体" w:hAnsi="宋体" w:cs="宋体"/>
          <w:b/>
          <w:bCs/>
          <w:color w:val="000000"/>
          <w:kern w:val="0"/>
          <w:sz w:val="24"/>
        </w:rPr>
        <w:t>、资格条件</w:t>
      </w:r>
    </w:p>
    <w:p w14:paraId="58C8CB6E">
      <w:pPr>
        <w:widowControl/>
        <w:spacing w:line="360" w:lineRule="auto"/>
        <w:ind w:left="284"/>
        <w:rPr>
          <w:rFonts w:ascii="宋体" w:hAnsi="宋体" w:cs="宋体"/>
          <w:color w:val="000000"/>
          <w:kern w:val="0"/>
          <w:sz w:val="24"/>
        </w:rPr>
      </w:pPr>
      <w:bookmarkStart w:id="2" w:name="_Hlk160807244"/>
      <w:r>
        <w:rPr>
          <w:rFonts w:hint="eastAsia" w:ascii="宋体" w:hAnsi="宋体" w:cs="宋体"/>
          <w:color w:val="000000"/>
          <w:kern w:val="0"/>
          <w:sz w:val="24"/>
        </w:rPr>
        <w:t>（一）基本资格条件</w:t>
      </w:r>
    </w:p>
    <w:p w14:paraId="450748F5">
      <w:pPr>
        <w:pStyle w:val="81"/>
        <w:widowControl/>
        <w:spacing w:line="360" w:lineRule="auto"/>
        <w:ind w:left="420" w:firstLine="0" w:firstLineChars="0"/>
        <w:jc w:val="left"/>
        <w:rPr>
          <w:rFonts w:ascii="宋体" w:hAnsi="宋体" w:cs="宋体"/>
          <w:color w:val="000000"/>
          <w:kern w:val="0"/>
          <w:sz w:val="24"/>
        </w:rPr>
      </w:pPr>
      <w:r>
        <w:rPr>
          <w:rFonts w:hint="eastAsia" w:ascii="宋体" w:hAnsi="宋体" w:cs="宋体"/>
          <w:color w:val="000000"/>
          <w:kern w:val="0"/>
          <w:sz w:val="24"/>
        </w:rPr>
        <w:t>1、具有独立法人资格，工商、税务、组织机构代码等证照齐全；</w:t>
      </w:r>
    </w:p>
    <w:p w14:paraId="4951F083">
      <w:pPr>
        <w:pStyle w:val="81"/>
        <w:widowControl/>
        <w:spacing w:line="360" w:lineRule="auto"/>
        <w:ind w:left="420" w:firstLine="0" w:firstLineChars="0"/>
        <w:jc w:val="left"/>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、具有良好的商业信誉和健全的财务会计制度；</w:t>
      </w:r>
    </w:p>
    <w:p w14:paraId="54000D45">
      <w:pPr>
        <w:pStyle w:val="81"/>
        <w:widowControl/>
        <w:spacing w:line="360" w:lineRule="auto"/>
        <w:ind w:left="420" w:firstLine="0" w:firstLineChars="0"/>
        <w:jc w:val="left"/>
        <w:rPr>
          <w:rFonts w:hint="eastAsia" w:ascii="宋体" w:hAnsi="宋体" w:cs="宋体"/>
          <w:color w:val="000000"/>
          <w:kern w:val="0"/>
          <w:sz w:val="24"/>
        </w:rPr>
      </w:pPr>
      <w:r>
        <w:rPr>
          <w:rFonts w:hint="eastAsia" w:ascii="宋体" w:hAnsi="宋体" w:cs="宋体"/>
          <w:color w:val="000000"/>
          <w:kern w:val="0"/>
          <w:sz w:val="24"/>
          <w:lang w:val="en-US" w:eastAsia="zh-CN"/>
        </w:rPr>
        <w:t>3</w:t>
      </w:r>
      <w:r>
        <w:rPr>
          <w:rFonts w:hint="eastAsia" w:ascii="宋体" w:hAnsi="宋体" w:cs="宋体"/>
          <w:color w:val="000000"/>
          <w:kern w:val="0"/>
          <w:sz w:val="24"/>
        </w:rPr>
        <w:t>、具有履行合同所必需的设备和专业技术服务能力；</w:t>
      </w:r>
    </w:p>
    <w:p w14:paraId="7B2D8C1F">
      <w:pPr>
        <w:pStyle w:val="81"/>
        <w:widowControl/>
        <w:spacing w:line="360" w:lineRule="auto"/>
        <w:ind w:left="420" w:firstLine="0" w:firstLineChars="0"/>
        <w:jc w:val="left"/>
        <w:rPr>
          <w:rFonts w:hint="eastAsia" w:ascii="宋体" w:hAnsi="宋体" w:cs="宋体"/>
          <w:color w:val="000000"/>
          <w:kern w:val="0"/>
          <w:sz w:val="24"/>
        </w:rPr>
      </w:pPr>
      <w:r>
        <w:rPr>
          <w:rFonts w:hint="eastAsia" w:ascii="宋体" w:hAnsi="宋体" w:cs="宋体"/>
          <w:color w:val="000000"/>
          <w:kern w:val="0"/>
          <w:sz w:val="24"/>
          <w:lang w:val="en-US" w:eastAsia="zh-CN"/>
        </w:rPr>
        <w:t>4</w:t>
      </w:r>
      <w:r>
        <w:rPr>
          <w:rFonts w:hint="eastAsia" w:ascii="宋体" w:hAnsi="宋体" w:cs="宋体"/>
          <w:color w:val="000000"/>
          <w:kern w:val="0"/>
          <w:sz w:val="24"/>
        </w:rPr>
        <w:t>、</w:t>
      </w:r>
      <w:r>
        <w:rPr>
          <w:rFonts w:hint="eastAsia" w:ascii="宋体" w:hAnsi="宋体" w:cs="宋体"/>
          <w:color w:val="000000"/>
          <w:kern w:val="0"/>
          <w:sz w:val="24"/>
          <w:lang w:val="en-US" w:eastAsia="zh-CN"/>
        </w:rPr>
        <w:t>有依法缴纳税收和社会保障资金的良好记录;</w:t>
      </w:r>
    </w:p>
    <w:p w14:paraId="1F98E033">
      <w:pPr>
        <w:pStyle w:val="81"/>
        <w:widowControl/>
        <w:spacing w:line="360" w:lineRule="auto"/>
        <w:ind w:left="420" w:firstLine="0" w:firstLineChars="0"/>
        <w:jc w:val="left"/>
        <w:rPr>
          <w:rFonts w:hint="eastAsia" w:ascii="宋体" w:hAnsi="宋体" w:cs="宋体"/>
          <w:color w:val="000000"/>
          <w:kern w:val="0"/>
          <w:sz w:val="24"/>
        </w:rPr>
      </w:pPr>
      <w:r>
        <w:rPr>
          <w:rFonts w:hint="eastAsia" w:ascii="宋体" w:hAnsi="宋体" w:cs="宋体"/>
          <w:color w:val="000000"/>
          <w:kern w:val="0"/>
          <w:sz w:val="24"/>
          <w:lang w:val="en-US" w:eastAsia="zh-CN"/>
        </w:rPr>
        <w:t>5</w:t>
      </w:r>
      <w:r>
        <w:rPr>
          <w:rFonts w:hint="eastAsia" w:ascii="宋体" w:hAnsi="宋体" w:cs="宋体"/>
          <w:color w:val="000000"/>
          <w:kern w:val="0"/>
          <w:sz w:val="24"/>
        </w:rPr>
        <w:t>、参加政府采购活动前三年内，在经营活动中没有重大违法记录；</w:t>
      </w:r>
    </w:p>
    <w:p w14:paraId="4C176347">
      <w:pPr>
        <w:pStyle w:val="81"/>
        <w:widowControl/>
        <w:spacing w:line="360" w:lineRule="auto"/>
        <w:ind w:left="420" w:firstLine="0" w:firstLineChars="0"/>
        <w:jc w:val="left"/>
        <w:rPr>
          <w:rFonts w:hint="eastAsia" w:ascii="宋体" w:hAnsi="宋体" w:cs="宋体"/>
          <w:color w:val="000000"/>
          <w:kern w:val="0"/>
          <w:sz w:val="24"/>
          <w:lang w:eastAsia="zh-CN"/>
        </w:rPr>
      </w:pPr>
      <w:r>
        <w:rPr>
          <w:rFonts w:hint="eastAsia" w:ascii="宋体" w:hAnsi="宋体" w:cs="宋体"/>
          <w:color w:val="000000"/>
          <w:kern w:val="0"/>
          <w:sz w:val="24"/>
          <w:lang w:val="en-US" w:eastAsia="zh-CN"/>
        </w:rPr>
        <w:t>6</w:t>
      </w:r>
      <w:r>
        <w:rPr>
          <w:rFonts w:hint="eastAsia" w:ascii="宋体" w:hAnsi="宋体" w:cs="宋体"/>
          <w:color w:val="000000"/>
          <w:kern w:val="0"/>
          <w:sz w:val="24"/>
        </w:rPr>
        <w:t>、法律、行政法规规定的其他条件</w:t>
      </w:r>
      <w:r>
        <w:rPr>
          <w:rFonts w:hint="eastAsia" w:ascii="宋体" w:hAnsi="宋体" w:cs="宋体"/>
          <w:color w:val="000000"/>
          <w:kern w:val="0"/>
          <w:sz w:val="24"/>
          <w:lang w:eastAsia="zh-CN"/>
        </w:rPr>
        <w:t>；</w:t>
      </w:r>
    </w:p>
    <w:p w14:paraId="4DB14FFE">
      <w:pPr>
        <w:pStyle w:val="81"/>
        <w:widowControl/>
        <w:spacing w:line="360" w:lineRule="auto"/>
        <w:ind w:left="420" w:firstLine="0" w:firstLineChars="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7</w:t>
      </w:r>
      <w:r>
        <w:rPr>
          <w:rFonts w:hint="eastAsia" w:ascii="宋体" w:hAnsi="宋体" w:cs="宋体"/>
          <w:color w:val="000000"/>
          <w:kern w:val="0"/>
          <w:sz w:val="24"/>
        </w:rPr>
        <w:t>、本项目不接受联合体参与投标</w:t>
      </w:r>
      <w:r>
        <w:rPr>
          <w:rFonts w:hint="eastAsia" w:ascii="宋体" w:hAnsi="宋体" w:cs="宋体"/>
          <w:color w:val="000000"/>
          <w:kern w:val="0"/>
          <w:sz w:val="24"/>
          <w:lang w:eastAsia="zh-CN"/>
        </w:rPr>
        <w:t>。</w:t>
      </w:r>
    </w:p>
    <w:p w14:paraId="54CBB0B9">
      <w:pPr>
        <w:widowControl/>
        <w:spacing w:line="360" w:lineRule="auto"/>
        <w:ind w:left="284"/>
        <w:rPr>
          <w:rFonts w:hint="eastAsia" w:ascii="宋体" w:hAnsi="宋体" w:cs="宋体"/>
          <w:color w:val="000000"/>
          <w:kern w:val="0"/>
          <w:sz w:val="24"/>
        </w:rPr>
      </w:pPr>
      <w:r>
        <w:rPr>
          <w:rFonts w:hint="eastAsia" w:ascii="宋体" w:hAnsi="宋体" w:cs="宋体"/>
          <w:color w:val="000000"/>
          <w:kern w:val="0"/>
          <w:sz w:val="24"/>
        </w:rPr>
        <w:t>（二）特定资格条件</w:t>
      </w:r>
      <w:bookmarkStart w:id="3" w:name="_Hlk160968648"/>
    </w:p>
    <w:bookmarkEnd w:id="2"/>
    <w:bookmarkEnd w:id="3"/>
    <w:p w14:paraId="1FA8E6EC">
      <w:pPr>
        <w:pStyle w:val="81"/>
        <w:widowControl/>
        <w:spacing w:line="360" w:lineRule="auto"/>
        <w:ind w:left="420" w:firstLine="0" w:firstLineChars="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无</w:t>
      </w:r>
    </w:p>
    <w:p w14:paraId="45913AE1">
      <w:pPr>
        <w:widowControl/>
        <w:spacing w:before="156" w:beforeLines="50" w:after="156" w:afterLines="50" w:line="440" w:lineRule="exact"/>
        <w:ind w:firstLine="482" w:firstLineChars="200"/>
        <w:jc w:val="left"/>
        <w:rPr>
          <w:rFonts w:ascii="宋体" w:hAnsi="宋体" w:cs="宋体"/>
          <w:b/>
          <w:bCs/>
          <w:color w:val="000000"/>
          <w:kern w:val="0"/>
          <w:sz w:val="24"/>
        </w:rPr>
      </w:pPr>
      <w:r>
        <w:rPr>
          <w:rFonts w:hint="eastAsia" w:ascii="宋体" w:hAnsi="宋体" w:cs="宋体"/>
          <w:b/>
          <w:bCs/>
          <w:color w:val="000000"/>
          <w:kern w:val="0"/>
          <w:sz w:val="24"/>
        </w:rPr>
        <w:t>三、报名及获取比选文件的期限和方式</w:t>
      </w:r>
    </w:p>
    <w:p w14:paraId="3A6AF50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color w:val="000000"/>
          <w:sz w:val="24"/>
          <w:szCs w:val="24"/>
          <w:lang w:eastAsia="zh-CN"/>
        </w:rPr>
      </w:pPr>
      <w:r>
        <w:rPr>
          <w:rFonts w:hint="eastAsia" w:ascii="宋体" w:hAnsi="宋体" w:cs="宋体"/>
          <w:color w:val="000000"/>
          <w:kern w:val="0"/>
          <w:sz w:val="24"/>
        </w:rPr>
        <w:t>1、</w:t>
      </w:r>
      <w:bookmarkStart w:id="4" w:name="_Hlk165294075"/>
      <w:r>
        <w:rPr>
          <w:rFonts w:hint="eastAsia" w:ascii="宋体" w:hAnsi="宋体" w:cs="宋体"/>
          <w:color w:val="000000"/>
          <w:kern w:val="0"/>
          <w:sz w:val="24"/>
        </w:rPr>
        <w:t>报名时间：</w:t>
      </w:r>
      <w:r>
        <w:rPr>
          <w:rFonts w:hint="eastAsia" w:ascii="宋体" w:hAnsi="宋体" w:eastAsia="宋体" w:cs="宋体"/>
          <w:i w:val="0"/>
          <w:color w:val="000000"/>
          <w:sz w:val="24"/>
          <w:szCs w:val="24"/>
        </w:rPr>
        <w:t>2025年10月</w:t>
      </w:r>
      <w:r>
        <w:rPr>
          <w:rFonts w:hint="eastAsia" w:ascii="宋体" w:hAnsi="宋体" w:cs="宋体"/>
          <w:i w:val="0"/>
          <w:color w:val="000000"/>
          <w:sz w:val="24"/>
          <w:szCs w:val="24"/>
          <w:lang w:val="en-US" w:eastAsia="zh-CN"/>
        </w:rPr>
        <w:t>15</w:t>
      </w:r>
      <w:r>
        <w:rPr>
          <w:rFonts w:hint="eastAsia" w:ascii="宋体" w:hAnsi="宋体" w:eastAsia="宋体" w:cs="宋体"/>
          <w:i w:val="0"/>
          <w:color w:val="000000"/>
          <w:sz w:val="24"/>
          <w:szCs w:val="24"/>
        </w:rPr>
        <w:t>日至2025年10月</w:t>
      </w:r>
      <w:r>
        <w:rPr>
          <w:rFonts w:hint="eastAsia" w:ascii="宋体" w:hAnsi="宋体" w:cs="宋体"/>
          <w:i w:val="0"/>
          <w:color w:val="000000"/>
          <w:sz w:val="24"/>
          <w:szCs w:val="24"/>
          <w:lang w:val="en-US" w:eastAsia="zh-CN"/>
        </w:rPr>
        <w:t>22</w:t>
      </w:r>
      <w:r>
        <w:rPr>
          <w:rFonts w:hint="eastAsia" w:ascii="宋体" w:hAnsi="宋体" w:eastAsia="宋体" w:cs="宋体"/>
          <w:i w:val="0"/>
          <w:color w:val="000000"/>
          <w:sz w:val="24"/>
          <w:szCs w:val="24"/>
        </w:rPr>
        <w:t>日17</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00止（工作日时间）</w:t>
      </w:r>
      <w:bookmarkEnd w:id="4"/>
      <w:r>
        <w:rPr>
          <w:rFonts w:hint="eastAsia" w:ascii="宋体" w:hAnsi="宋体" w:cs="宋体"/>
          <w:i w:val="0"/>
          <w:color w:val="000000"/>
          <w:sz w:val="24"/>
          <w:szCs w:val="24"/>
          <w:lang w:eastAsia="zh-CN"/>
        </w:rPr>
        <w:t>；</w:t>
      </w:r>
    </w:p>
    <w:p w14:paraId="4A7E60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2、报名方式：供应商通过电子邮件将参与投标项目信息（参与项目、投标单位名称、项目负责人、联系电话）发到指定邮箱</w:t>
      </w:r>
      <w:r>
        <w:rPr>
          <w:rFonts w:hint="eastAsia" w:ascii="宋体" w:hAnsi="宋体" w:cs="宋体"/>
          <w:color w:val="000000"/>
          <w:kern w:val="0"/>
          <w:sz w:val="24"/>
        </w:rPr>
        <w:t>（</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"mailto:zcglccg@126.com" </w:instrText>
      </w:r>
      <w:r>
        <w:rPr>
          <w:rFonts w:hint="eastAsia" w:ascii="宋体" w:hAnsi="宋体" w:cs="宋体"/>
          <w:color w:val="000000"/>
          <w:kern w:val="0"/>
          <w:sz w:val="24"/>
        </w:rPr>
        <w:fldChar w:fldCharType="separate"/>
      </w:r>
      <w:r>
        <w:rPr>
          <w:rFonts w:hint="eastAsia" w:ascii="宋体" w:hAnsi="宋体" w:cs="宋体"/>
          <w:color w:val="000000"/>
          <w:kern w:val="0"/>
          <w:sz w:val="24"/>
          <w:lang w:val="en-US" w:eastAsia="zh-CN"/>
        </w:rPr>
        <w:t>996537528@qq</w:t>
      </w:r>
      <w:r>
        <w:rPr>
          <w:rFonts w:hint="eastAsia" w:ascii="宋体" w:hAnsi="宋体" w:cs="宋体"/>
          <w:color w:val="000000"/>
          <w:kern w:val="0"/>
          <w:sz w:val="24"/>
        </w:rPr>
        <w:t>.com</w:t>
      </w:r>
      <w:r>
        <w:rPr>
          <w:rFonts w:hint="eastAsia" w:ascii="宋体" w:hAnsi="宋体" w:cs="宋体"/>
          <w:color w:val="000000"/>
          <w:kern w:val="0"/>
          <w:sz w:val="24"/>
        </w:rPr>
        <w:fldChar w:fldCharType="end"/>
      </w:r>
      <w:r>
        <w:rPr>
          <w:rFonts w:hint="eastAsia" w:ascii="宋体" w:hAnsi="宋体" w:cs="宋体"/>
          <w:color w:val="000000"/>
          <w:kern w:val="0"/>
          <w:sz w:val="24"/>
        </w:rPr>
        <w:t>）</w:t>
      </w:r>
      <w:r>
        <w:rPr>
          <w:rFonts w:hint="eastAsia" w:ascii="宋体" w:hAnsi="宋体" w:cs="宋体"/>
          <w:color w:val="000000"/>
          <w:kern w:val="0"/>
          <w:sz w:val="24"/>
          <w:lang w:val="en-US" w:eastAsia="zh-CN"/>
        </w:rPr>
        <w:t>；</w:t>
      </w:r>
    </w:p>
    <w:p w14:paraId="0386CBB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比选文件获取方式：供应商通过邮箱报名或联系采购人获取招标文件。潜在供应商通过电子邮件将参与投标项目信息（参与项目、投标单名称、项目负责人、联系电话）发到指定邮箱（996537528@qq.com），采购人会在一个工作日内发招标文件到报名邮箱。</w:t>
      </w:r>
    </w:p>
    <w:p w14:paraId="7A342941">
      <w:pPr>
        <w:widowControl/>
        <w:spacing w:before="156" w:beforeLines="50" w:after="156" w:afterLines="50" w:line="440" w:lineRule="exact"/>
        <w:ind w:left="479" w:leftChars="228"/>
        <w:jc w:val="left"/>
        <w:rPr>
          <w:rFonts w:ascii="宋体" w:hAnsi="宋体" w:cs="宋体"/>
          <w:b/>
          <w:bCs/>
          <w:color w:val="000000"/>
          <w:kern w:val="0"/>
          <w:sz w:val="24"/>
        </w:rPr>
      </w:pPr>
      <w:r>
        <w:rPr>
          <w:rFonts w:hint="eastAsia" w:ascii="宋体" w:hAnsi="宋体" w:cs="宋体"/>
          <w:b/>
          <w:bCs/>
          <w:color w:val="000000"/>
          <w:kern w:val="0"/>
          <w:sz w:val="24"/>
        </w:rPr>
        <w:t>四、开标信息</w:t>
      </w:r>
    </w:p>
    <w:p w14:paraId="29EAC3DF">
      <w:pPr>
        <w:widowControl/>
        <w:spacing w:before="124" w:beforeLines="40" w:after="124" w:afterLines="40"/>
        <w:ind w:firstLine="480" w:firstLineChars="200"/>
        <w:rPr>
          <w:rFonts w:hint="eastAsia" w:ascii="宋体" w:hAnsi="宋体" w:cs="宋体"/>
          <w:color w:val="000000"/>
          <w:kern w:val="0"/>
          <w:sz w:val="24"/>
        </w:rPr>
      </w:pPr>
      <w:bookmarkStart w:id="5" w:name="_Hlk165294099"/>
      <w:r>
        <w:rPr>
          <w:rFonts w:hint="eastAsia" w:ascii="宋体" w:hAnsi="宋体" w:cs="宋体"/>
          <w:color w:val="000000"/>
          <w:kern w:val="0"/>
          <w:sz w:val="24"/>
        </w:rPr>
        <w:t>1、响应文件递交开始时间：202</w:t>
      </w:r>
      <w:r>
        <w:rPr>
          <w:rFonts w:hint="eastAsia" w:ascii="宋体" w:hAnsi="宋体" w:cs="宋体"/>
          <w:color w:val="000000"/>
          <w:kern w:val="0"/>
          <w:sz w:val="24"/>
          <w:lang w:val="en-US" w:eastAsia="zh-CN"/>
        </w:rPr>
        <w:t>5</w:t>
      </w:r>
      <w:r>
        <w:rPr>
          <w:rFonts w:hint="eastAsia" w:ascii="宋体" w:hAnsi="宋体" w:cs="宋体"/>
          <w:color w:val="000000"/>
          <w:kern w:val="0"/>
          <w:sz w:val="24"/>
        </w:rPr>
        <w:t>年</w:t>
      </w:r>
      <w:r>
        <w:rPr>
          <w:rFonts w:hint="eastAsia" w:ascii="宋体" w:hAnsi="宋体" w:cs="宋体"/>
          <w:color w:val="000000"/>
          <w:kern w:val="0"/>
          <w:sz w:val="24"/>
          <w:lang w:val="en-US" w:eastAsia="zh-CN"/>
        </w:rPr>
        <w:t>10</w:t>
      </w:r>
      <w:r>
        <w:rPr>
          <w:rFonts w:hint="eastAsia" w:ascii="宋体" w:hAnsi="宋体" w:cs="宋体"/>
          <w:color w:val="000000"/>
          <w:kern w:val="0"/>
          <w:sz w:val="24"/>
        </w:rPr>
        <w:t>月</w:t>
      </w:r>
      <w:r>
        <w:rPr>
          <w:rFonts w:hint="eastAsia" w:ascii="宋体" w:hAnsi="宋体" w:cs="宋体"/>
          <w:color w:val="000000"/>
          <w:kern w:val="0"/>
          <w:sz w:val="24"/>
          <w:lang w:val="en-US" w:eastAsia="zh-CN"/>
        </w:rPr>
        <w:t>23</w:t>
      </w:r>
      <w:r>
        <w:rPr>
          <w:rFonts w:hint="eastAsia" w:ascii="宋体" w:hAnsi="宋体" w:cs="宋体"/>
          <w:color w:val="000000"/>
          <w:kern w:val="0"/>
          <w:sz w:val="24"/>
        </w:rPr>
        <w:t>日北京时间</w:t>
      </w:r>
      <w:r>
        <w:rPr>
          <w:rFonts w:hint="eastAsia" w:ascii="宋体" w:hAnsi="宋体" w:cs="宋体"/>
          <w:color w:val="000000"/>
          <w:kern w:val="0"/>
          <w:sz w:val="24"/>
          <w:lang w:val="en-US" w:eastAsia="zh-CN"/>
        </w:rPr>
        <w:t>9</w:t>
      </w:r>
      <w:r>
        <w:rPr>
          <w:rFonts w:hint="eastAsia" w:ascii="宋体" w:hAnsi="宋体" w:cs="宋体"/>
          <w:color w:val="000000"/>
          <w:kern w:val="0"/>
          <w:sz w:val="24"/>
        </w:rPr>
        <w:t>:00；</w:t>
      </w:r>
    </w:p>
    <w:p w14:paraId="6DDD17C5">
      <w:pPr>
        <w:widowControl/>
        <w:spacing w:before="124" w:beforeLines="40" w:after="124" w:afterLines="40"/>
        <w:ind w:firstLine="480" w:firstLineChars="200"/>
        <w:rPr>
          <w:rFonts w:hint="eastAsia" w:ascii="宋体" w:hAnsi="宋体" w:cs="宋体"/>
          <w:color w:val="000000"/>
          <w:kern w:val="0"/>
          <w:sz w:val="24"/>
        </w:rPr>
      </w:pPr>
      <w:r>
        <w:rPr>
          <w:rFonts w:hint="eastAsia" w:ascii="宋体" w:hAnsi="宋体" w:cs="宋体"/>
          <w:color w:val="000000"/>
          <w:kern w:val="0"/>
          <w:sz w:val="24"/>
        </w:rPr>
        <w:t>2、响应文件递交截止时间（开标时间）：2025年10月</w:t>
      </w:r>
      <w:r>
        <w:rPr>
          <w:rFonts w:hint="eastAsia" w:ascii="宋体" w:hAnsi="宋体" w:cs="宋体"/>
          <w:color w:val="000000"/>
          <w:kern w:val="0"/>
          <w:sz w:val="24"/>
          <w:lang w:val="en-US" w:eastAsia="zh-CN"/>
        </w:rPr>
        <w:t>23</w:t>
      </w:r>
      <w:r>
        <w:rPr>
          <w:rFonts w:hint="eastAsia" w:ascii="宋体" w:hAnsi="宋体" w:cs="宋体"/>
          <w:color w:val="000000"/>
          <w:kern w:val="0"/>
          <w:sz w:val="24"/>
        </w:rPr>
        <w:t>日北京时间</w:t>
      </w:r>
      <w:r>
        <w:rPr>
          <w:rFonts w:hint="eastAsia" w:ascii="宋体" w:hAnsi="宋体" w:cs="宋体"/>
          <w:color w:val="000000"/>
          <w:kern w:val="0"/>
          <w:sz w:val="24"/>
          <w:lang w:val="en-US" w:eastAsia="zh-CN"/>
        </w:rPr>
        <w:t>9</w:t>
      </w:r>
      <w:bookmarkStart w:id="13" w:name="_GoBack"/>
      <w:bookmarkEnd w:id="13"/>
      <w:r>
        <w:rPr>
          <w:rFonts w:hint="eastAsia" w:ascii="宋体" w:hAnsi="宋体" w:cs="宋体"/>
          <w:color w:val="000000"/>
          <w:kern w:val="0"/>
          <w:sz w:val="24"/>
        </w:rPr>
        <w:t>:00；</w:t>
      </w:r>
    </w:p>
    <w:p w14:paraId="0F248BBE">
      <w:pPr>
        <w:widowControl/>
        <w:spacing w:before="124" w:beforeLines="40" w:after="124" w:afterLines="40"/>
        <w:ind w:firstLine="480" w:firstLineChars="200"/>
        <w:rPr>
          <w:rFonts w:hint="eastAsia" w:ascii="宋体" w:hAnsi="宋体" w:cs="宋体"/>
          <w:color w:val="000000"/>
          <w:kern w:val="0"/>
          <w:sz w:val="24"/>
        </w:rPr>
      </w:pPr>
      <w:r>
        <w:rPr>
          <w:rFonts w:hint="eastAsia" w:ascii="宋体" w:hAnsi="宋体" w:cs="宋体"/>
          <w:color w:val="000000"/>
          <w:kern w:val="0"/>
          <w:sz w:val="24"/>
        </w:rPr>
        <w:t>3、开标地点：湖南化工职业技术学院上善楼（行政楼）</w:t>
      </w:r>
      <w:r>
        <w:rPr>
          <w:rFonts w:hint="eastAsia" w:ascii="宋体" w:hAnsi="宋体" w:cs="宋体"/>
          <w:color w:val="000000"/>
          <w:kern w:val="0"/>
          <w:sz w:val="24"/>
          <w:lang w:val="en-US" w:eastAsia="zh-CN"/>
        </w:rPr>
        <w:t>109</w:t>
      </w:r>
      <w:r>
        <w:rPr>
          <w:rFonts w:hint="eastAsia" w:ascii="宋体" w:hAnsi="宋体" w:cs="宋体"/>
          <w:color w:val="000000"/>
          <w:kern w:val="0"/>
          <w:sz w:val="24"/>
        </w:rPr>
        <w:t>室。</w:t>
      </w:r>
    </w:p>
    <w:bookmarkEnd w:id="5"/>
    <w:p w14:paraId="4F90365D">
      <w:pPr>
        <w:widowControl/>
        <w:spacing w:before="156" w:beforeLines="50" w:after="156" w:afterLines="50" w:line="440" w:lineRule="exact"/>
        <w:ind w:left="479" w:leftChars="228"/>
        <w:jc w:val="left"/>
        <w:rPr>
          <w:rFonts w:ascii="宋体" w:hAnsi="宋体" w:cs="宋体"/>
          <w:b/>
          <w:bCs/>
          <w:color w:val="000000"/>
          <w:kern w:val="0"/>
          <w:sz w:val="24"/>
        </w:rPr>
      </w:pPr>
      <w:r>
        <w:rPr>
          <w:rFonts w:hint="eastAsia" w:ascii="宋体" w:hAnsi="宋体" w:cs="宋体"/>
          <w:b/>
          <w:bCs/>
          <w:color w:val="000000"/>
          <w:kern w:val="0"/>
          <w:sz w:val="24"/>
        </w:rPr>
        <w:t>五、发布公告的媒介</w:t>
      </w:r>
    </w:p>
    <w:p w14:paraId="20DA4471">
      <w:pPr>
        <w:pStyle w:val="7"/>
        <w:widowControl/>
        <w:pBdr>
          <w:top w:val="none" w:color="auto" w:sz="0" w:space="0"/>
          <w:left w:val="none" w:color="auto" w:sz="0" w:space="0"/>
          <w:bottom w:val="none" w:color="auto" w:sz="0" w:space="0"/>
          <w:right w:val="none" w:color="auto" w:sz="0" w:space="0"/>
        </w:pBdr>
        <w:ind w:firstLine="480" w:firstLineChars="200"/>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本次比选采购邀请公告在湖南化工职业技术学院</w:t>
      </w:r>
      <w:r>
        <w:rPr>
          <w:rFonts w:hint="eastAsia" w:ascii="宋体" w:hAnsi="宋体" w:cs="宋体"/>
          <w:i w:val="0"/>
          <w:color w:val="000000"/>
          <w:sz w:val="24"/>
          <w:szCs w:val="24"/>
          <w:lang w:eastAsia="zh-CN"/>
        </w:rPr>
        <w:t>发展规划处</w:t>
      </w:r>
      <w:r>
        <w:rPr>
          <w:rFonts w:hint="eastAsia" w:ascii="宋体" w:hAnsi="宋体" w:eastAsia="宋体" w:cs="宋体"/>
          <w:i w:val="0"/>
          <w:color w:val="000000"/>
          <w:sz w:val="24"/>
          <w:szCs w:val="24"/>
        </w:rPr>
        <w:t>官网通知公告（https://www.hnhgzy.com/fzghc/）上发布。</w:t>
      </w:r>
    </w:p>
    <w:p w14:paraId="467FF80B">
      <w:pPr>
        <w:pStyle w:val="7"/>
        <w:widowControl/>
        <w:pBdr>
          <w:top w:val="none" w:color="auto" w:sz="0" w:space="0"/>
          <w:left w:val="none" w:color="auto" w:sz="0" w:space="0"/>
          <w:bottom w:val="none" w:color="auto" w:sz="0" w:space="0"/>
          <w:right w:val="none" w:color="auto" w:sz="0" w:space="0"/>
        </w:pBdr>
        <w:ind w:firstLine="480" w:firstLineChars="200"/>
        <w:rPr>
          <w:rFonts w:hint="eastAsia" w:ascii="宋体" w:hAnsi="宋体" w:eastAsia="宋体" w:cs="宋体"/>
          <w:i w:val="0"/>
          <w:color w:val="000000"/>
          <w:sz w:val="24"/>
          <w:szCs w:val="24"/>
        </w:rPr>
      </w:pPr>
      <w:bookmarkStart w:id="6" w:name="_Hlk199836144"/>
      <w:r>
        <w:rPr>
          <w:rFonts w:hint="eastAsia" w:ascii="宋体" w:hAnsi="宋体" w:eastAsia="宋体" w:cs="宋体"/>
          <w:i w:val="0"/>
          <w:color w:val="000000"/>
          <w:sz w:val="24"/>
          <w:szCs w:val="24"/>
        </w:rPr>
        <w:t>中标结果在湖南化工职业技术学院</w:t>
      </w:r>
      <w:r>
        <w:rPr>
          <w:rFonts w:hint="eastAsia" w:ascii="宋体" w:hAnsi="宋体" w:cs="宋体"/>
          <w:i w:val="0"/>
          <w:color w:val="000000"/>
          <w:sz w:val="24"/>
          <w:szCs w:val="24"/>
          <w:lang w:eastAsia="zh-CN"/>
        </w:rPr>
        <w:t>发展规划处</w:t>
      </w:r>
      <w:r>
        <w:rPr>
          <w:rFonts w:hint="eastAsia" w:ascii="宋体" w:hAnsi="宋体" w:eastAsia="宋体" w:cs="宋体"/>
          <w:i w:val="0"/>
          <w:color w:val="000000"/>
          <w:sz w:val="24"/>
          <w:szCs w:val="24"/>
        </w:rPr>
        <w:t>官网（https://www.hnhgzy.com/fzghc/）上查询。</w:t>
      </w:r>
      <w:bookmarkEnd w:id="6"/>
    </w:p>
    <w:p w14:paraId="69849340">
      <w:pPr>
        <w:widowControl/>
        <w:spacing w:before="156" w:beforeLines="50" w:after="156" w:afterLines="50" w:line="440" w:lineRule="exact"/>
        <w:ind w:left="479" w:leftChars="228"/>
        <w:jc w:val="left"/>
        <w:rPr>
          <w:rFonts w:ascii="宋体" w:hAnsi="宋体" w:cs="宋体"/>
          <w:b/>
          <w:bCs/>
          <w:color w:val="000000"/>
          <w:kern w:val="0"/>
          <w:sz w:val="24"/>
        </w:rPr>
      </w:pPr>
      <w:r>
        <w:rPr>
          <w:rFonts w:hint="eastAsia" w:ascii="宋体" w:hAnsi="宋体" w:cs="宋体"/>
          <w:b/>
          <w:bCs/>
          <w:color w:val="000000"/>
          <w:kern w:val="0"/>
          <w:sz w:val="24"/>
        </w:rPr>
        <w:t>六、联系方式</w:t>
      </w:r>
    </w:p>
    <w:p w14:paraId="24E49CAE">
      <w:pPr>
        <w:widowControl/>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采购人：湖南化工职业技术学院</w:t>
      </w:r>
    </w:p>
    <w:p w14:paraId="13315D55">
      <w:pPr>
        <w:widowControl/>
        <w:spacing w:line="440" w:lineRule="exact"/>
        <w:ind w:firstLine="480" w:firstLineChars="20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联系人：</w:t>
      </w:r>
      <w:r>
        <w:rPr>
          <w:rFonts w:hint="eastAsia" w:ascii="宋体" w:hAnsi="宋体" w:cs="宋体"/>
          <w:color w:val="000000"/>
          <w:kern w:val="0"/>
          <w:sz w:val="24"/>
          <w:lang w:val="en-US" w:eastAsia="zh-CN"/>
        </w:rPr>
        <w:t>王老师</w:t>
      </w:r>
    </w:p>
    <w:p w14:paraId="7553DB77">
      <w:pPr>
        <w:widowControl/>
        <w:spacing w:line="440" w:lineRule="exact"/>
        <w:ind w:firstLine="480" w:firstLineChars="200"/>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电 话：0731-2253</w:t>
      </w:r>
      <w:r>
        <w:rPr>
          <w:rFonts w:hint="eastAsia" w:ascii="宋体" w:hAnsi="宋体" w:cs="宋体"/>
          <w:color w:val="000000"/>
          <w:kern w:val="0"/>
          <w:sz w:val="24"/>
          <w:lang w:val="en-US" w:eastAsia="zh-CN"/>
        </w:rPr>
        <w:t>7651</w:t>
      </w:r>
    </w:p>
    <w:p w14:paraId="3124066F">
      <w:pPr>
        <w:widowControl/>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地  址：湖南省株洲市云龙区职教城                           </w:t>
      </w:r>
    </w:p>
    <w:p w14:paraId="1C77C24E">
      <w:pPr>
        <w:pStyle w:val="4"/>
        <w:ind w:firstLine="480"/>
        <w:rPr>
          <w:color w:val="000000"/>
        </w:rPr>
      </w:pPr>
    </w:p>
    <w:p w14:paraId="368CF06C">
      <w:pPr>
        <w:pStyle w:val="5"/>
        <w:rPr>
          <w:color w:val="000000"/>
        </w:rPr>
      </w:pPr>
    </w:p>
    <w:p w14:paraId="0D0066F3">
      <w:pPr>
        <w:pStyle w:val="5"/>
        <w:rPr>
          <w:color w:val="000000"/>
        </w:rPr>
      </w:pPr>
    </w:p>
    <w:p w14:paraId="4A2B18C0">
      <w:pPr>
        <w:widowControl/>
        <w:spacing w:line="440" w:lineRule="exact"/>
        <w:jc w:val="center"/>
        <w:rPr>
          <w:rFonts w:ascii="宋体" w:hAnsi="宋体" w:cs="宋体"/>
          <w:color w:val="000000"/>
          <w:kern w:val="0"/>
          <w:sz w:val="24"/>
        </w:rPr>
      </w:pPr>
      <w:r>
        <w:rPr>
          <w:rFonts w:hint="eastAsia" w:ascii="宋体" w:hAnsi="宋体" w:cs="宋体"/>
          <w:color w:val="000000"/>
          <w:kern w:val="0"/>
          <w:sz w:val="24"/>
        </w:rPr>
        <w:t xml:space="preserve">                 </w:t>
      </w:r>
      <w:r>
        <w:rPr>
          <w:rFonts w:ascii="宋体" w:hAnsi="宋体" w:cs="宋体"/>
          <w:color w:val="000000"/>
          <w:kern w:val="0"/>
          <w:sz w:val="24"/>
        </w:rPr>
        <w:t xml:space="preserve">       </w:t>
      </w:r>
      <w:r>
        <w:rPr>
          <w:rFonts w:hint="eastAsia" w:ascii="宋体" w:hAnsi="宋体" w:cs="宋体"/>
          <w:color w:val="000000"/>
          <w:kern w:val="0"/>
          <w:sz w:val="24"/>
        </w:rPr>
        <w:t xml:space="preserve">   </w:t>
      </w:r>
    </w:p>
    <w:p w14:paraId="03BF3C3D">
      <w:pPr>
        <w:widowControl/>
        <w:spacing w:line="440" w:lineRule="exact"/>
        <w:ind w:firstLine="5280" w:firstLineChars="2200"/>
        <w:jc w:val="left"/>
        <w:rPr>
          <w:rFonts w:ascii="宋体" w:hAnsi="宋体" w:cs="宋体"/>
          <w:kern w:val="0"/>
          <w:sz w:val="24"/>
        </w:rPr>
      </w:pPr>
      <w:r>
        <w:rPr>
          <w:rFonts w:ascii="宋体" w:hAnsi="宋体" w:cs="宋体"/>
          <w:kern w:val="0"/>
          <w:sz w:val="24"/>
        </w:rPr>
        <w:br w:type="page"/>
      </w:r>
    </w:p>
    <w:p w14:paraId="02AE53CA">
      <w:pPr>
        <w:widowControl/>
        <w:spacing w:before="124" w:beforeLines="40" w:after="124" w:afterLines="40" w:line="375" w:lineRule="atLeast"/>
        <w:jc w:val="center"/>
        <w:rPr>
          <w:rFonts w:ascii="微软雅黑" w:hAnsi="微软雅黑" w:eastAsia="微软雅黑" w:cs="微软雅黑"/>
          <w:b/>
          <w:color w:val="000000"/>
          <w:kern w:val="0"/>
          <w:sz w:val="30"/>
          <w:szCs w:val="30"/>
        </w:rPr>
      </w:pPr>
      <w:r>
        <w:rPr>
          <w:rFonts w:hint="eastAsia" w:ascii="微软雅黑" w:hAnsi="微软雅黑" w:eastAsia="微软雅黑" w:cs="微软雅黑"/>
          <w:b/>
          <w:color w:val="000000"/>
          <w:kern w:val="0"/>
          <w:sz w:val="30"/>
          <w:szCs w:val="30"/>
        </w:rPr>
        <w:t>比选须知</w:t>
      </w:r>
    </w:p>
    <w:p w14:paraId="0071BADE">
      <w:pPr>
        <w:widowControl/>
        <w:spacing w:after="156" w:afterLines="50" w:line="360" w:lineRule="auto"/>
        <w:ind w:firstLine="482" w:firstLineChars="200"/>
        <w:jc w:val="left"/>
        <w:rPr>
          <w:rFonts w:ascii="宋体" w:hAnsi="宋体" w:cs="宋体"/>
          <w:color w:val="000000"/>
          <w:kern w:val="0"/>
          <w:sz w:val="24"/>
        </w:rPr>
      </w:pPr>
      <w:r>
        <w:rPr>
          <w:rFonts w:hint="eastAsia" w:ascii="宋体" w:hAnsi="宋体" w:cs="宋体"/>
          <w:b/>
          <w:color w:val="000000"/>
          <w:kern w:val="0"/>
          <w:sz w:val="24"/>
        </w:rPr>
        <w:t>一、说明</w:t>
      </w:r>
    </w:p>
    <w:p w14:paraId="720C6D95">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1、适用范围：本招标书仅适用于本次招标。</w:t>
      </w:r>
    </w:p>
    <w:p w14:paraId="349A4B0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2、合格投标人：提交投标文件的</w:t>
      </w:r>
      <w:r>
        <w:rPr>
          <w:rFonts w:hint="eastAsia" w:ascii="宋体" w:hAnsi="宋体" w:cs="宋体"/>
          <w:kern w:val="0"/>
          <w:sz w:val="24"/>
        </w:rPr>
        <w:t>满足</w:t>
      </w:r>
      <w:r>
        <w:rPr>
          <w:rFonts w:hint="eastAsia" w:ascii="宋体" w:hAnsi="宋体" w:cs="宋体"/>
          <w:kern w:val="0"/>
          <w:sz w:val="24"/>
          <w:lang w:val="en-US" w:eastAsia="zh-CN"/>
        </w:rPr>
        <w:t>资格条件</w:t>
      </w:r>
      <w:r>
        <w:rPr>
          <w:rFonts w:hint="eastAsia" w:ascii="宋体" w:hAnsi="宋体" w:cs="宋体"/>
          <w:kern w:val="0"/>
          <w:sz w:val="24"/>
        </w:rPr>
        <w:t>的投标</w:t>
      </w:r>
      <w:r>
        <w:rPr>
          <w:rFonts w:hint="eastAsia" w:ascii="宋体" w:hAnsi="宋体" w:cs="宋体"/>
          <w:color w:val="000000"/>
          <w:kern w:val="0"/>
          <w:sz w:val="24"/>
        </w:rPr>
        <w:t>单位为合格投标人。</w:t>
      </w:r>
    </w:p>
    <w:p w14:paraId="7D7C8D3A">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3、招标人：系指湖南化工职业技术学院。</w:t>
      </w:r>
    </w:p>
    <w:p w14:paraId="71FB842A">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4、投标人：系指向招标人提交投标文件的合格投标人。</w:t>
      </w:r>
    </w:p>
    <w:p w14:paraId="6CBBC124">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5、服务：系指招标文件规定合格投标人须承担的相关工作。</w:t>
      </w:r>
    </w:p>
    <w:p w14:paraId="3C5C7D65">
      <w:pPr>
        <w:widowControl/>
        <w:spacing w:before="156" w:beforeLines="50" w:after="156" w:afterLines="50" w:line="360" w:lineRule="auto"/>
        <w:ind w:firstLine="482" w:firstLineChars="200"/>
        <w:jc w:val="left"/>
        <w:rPr>
          <w:rFonts w:ascii="宋体" w:hAnsi="宋体" w:cs="宋体"/>
          <w:color w:val="000000"/>
          <w:kern w:val="0"/>
          <w:sz w:val="24"/>
        </w:rPr>
      </w:pPr>
      <w:r>
        <w:rPr>
          <w:rFonts w:hint="eastAsia" w:ascii="宋体" w:hAnsi="宋体" w:cs="宋体"/>
          <w:b/>
          <w:color w:val="000000"/>
          <w:kern w:val="0"/>
          <w:sz w:val="24"/>
        </w:rPr>
        <w:t>二、比选文件</w:t>
      </w:r>
    </w:p>
    <w:p w14:paraId="4ECCB137">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1、比选文件的编制</w:t>
      </w:r>
    </w:p>
    <w:p w14:paraId="505E9D7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投标人应仔细阅读招标文件所有内容，并按招标文件的规定及附件要求的内容和格式，提交完整的投标文件。</w:t>
      </w:r>
    </w:p>
    <w:p w14:paraId="223742B0">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投标人应向甲方提供约定的服务的所有内容并保证服务质量。</w:t>
      </w:r>
    </w:p>
    <w:p w14:paraId="0F1C6434">
      <w:pPr>
        <w:widowControl/>
        <w:spacing w:line="360" w:lineRule="auto"/>
        <w:ind w:firstLine="480" w:firstLineChars="200"/>
        <w:jc w:val="left"/>
      </w:pPr>
      <w:r>
        <w:rPr>
          <w:rFonts w:hint="eastAsia" w:ascii="宋体" w:hAnsi="宋体" w:cs="宋体"/>
          <w:color w:val="000000"/>
          <w:kern w:val="0"/>
          <w:sz w:val="24"/>
        </w:rPr>
        <w:t>投标报价包含乙方向甲方提供约定的货物或服务的所有费用及税金。</w:t>
      </w:r>
    </w:p>
    <w:p w14:paraId="5B48E23D">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2、比选文件的组成</w:t>
      </w:r>
    </w:p>
    <w:p w14:paraId="6B5438D4">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highlight w:val="none"/>
        </w:rPr>
        <w:t>投标人递交的比选文件按照以下格式进行编制：</w:t>
      </w:r>
    </w:p>
    <w:p w14:paraId="5947BD4B">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（1）投标文件目</w:t>
      </w:r>
      <w:r>
        <w:rPr>
          <w:rFonts w:hint="eastAsia" w:ascii="宋体" w:hAnsi="宋体" w:eastAsia="宋体" w:cs="宋体"/>
          <w:color w:val="000000"/>
          <w:kern w:val="0"/>
          <w:sz w:val="24"/>
          <w:highlight w:val="none"/>
        </w:rPr>
        <w:t>录及评分标准佐证材料索引；</w:t>
      </w:r>
    </w:p>
    <w:p w14:paraId="188A7B5B">
      <w:pPr>
        <w:widowControl/>
        <w:spacing w:line="360" w:lineRule="auto"/>
        <w:ind w:firstLine="480" w:firstLineChars="200"/>
        <w:jc w:val="left"/>
      </w:pPr>
      <w:r>
        <w:rPr>
          <w:rFonts w:hint="eastAsia" w:ascii="宋体" w:hAnsi="宋体" w:cs="宋体"/>
          <w:color w:val="000000"/>
          <w:kern w:val="0"/>
          <w:sz w:val="24"/>
        </w:rPr>
        <w:t>（1）投标</w:t>
      </w:r>
      <w:r>
        <w:rPr>
          <w:rFonts w:hint="eastAsia" w:ascii="宋体" w:hAnsi="宋体" w:cs="宋体"/>
          <w:color w:val="000000"/>
          <w:kern w:val="0"/>
          <w:sz w:val="24"/>
          <w:lang w:eastAsia="zh-CN"/>
        </w:rPr>
        <w:t>函</w:t>
      </w:r>
      <w:r>
        <w:rPr>
          <w:rFonts w:hint="eastAsia" w:ascii="宋体" w:hAnsi="宋体" w:cs="宋体"/>
          <w:color w:val="000000"/>
          <w:kern w:val="0"/>
          <w:sz w:val="24"/>
          <w:highlight w:val="none"/>
        </w:rPr>
        <w:t>；</w:t>
      </w:r>
    </w:p>
    <w:p w14:paraId="38FC5EC7">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（2）投标书</w:t>
      </w:r>
    </w:p>
    <w:p w14:paraId="3D91E6C0">
      <w:pPr>
        <w:pStyle w:val="7"/>
        <w:spacing w:after="0" w:line="360" w:lineRule="auto"/>
        <w:ind w:firstLine="480" w:firstLineChars="200"/>
        <w:jc w:val="left"/>
      </w:pPr>
      <w:r>
        <w:rPr>
          <w:rFonts w:hint="eastAsia" w:ascii="宋体" w:hAnsi="宋体" w:cs="宋体"/>
          <w:color w:val="000000"/>
          <w:kern w:val="0"/>
          <w:sz w:val="24"/>
        </w:rPr>
        <w:t>（3）开标一览表</w:t>
      </w:r>
    </w:p>
    <w:p w14:paraId="733D0D43">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（4）服务方案</w:t>
      </w:r>
    </w:p>
    <w:p w14:paraId="4CAA1CD0">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（5）服务承诺书</w:t>
      </w:r>
    </w:p>
    <w:p w14:paraId="057D1F8C">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（6）供应商资质证明材料</w:t>
      </w:r>
    </w:p>
    <w:p w14:paraId="551F5207">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（7）技术参数响应及实施方案</w:t>
      </w:r>
    </w:p>
    <w:p w14:paraId="3DB7845C">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（8）类似业绩</w:t>
      </w:r>
    </w:p>
    <w:p w14:paraId="32CFFED4">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（9）供应商认为需提供的其他资料</w:t>
      </w:r>
    </w:p>
    <w:p w14:paraId="4B03A247">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投标文件应对</w:t>
      </w:r>
      <w:r>
        <w:rPr>
          <w:rFonts w:hint="eastAsia" w:ascii="宋体" w:hAnsi="宋体" w:cs="宋体"/>
          <w:color w:val="000000"/>
          <w:kern w:val="0"/>
          <w:sz w:val="24"/>
          <w:lang w:eastAsia="zh-CN"/>
        </w:rPr>
        <w:t>比选文件</w:t>
      </w:r>
      <w:r>
        <w:rPr>
          <w:rFonts w:hint="eastAsia" w:ascii="宋体" w:hAnsi="宋体" w:cs="宋体"/>
          <w:color w:val="000000"/>
          <w:kern w:val="0"/>
          <w:sz w:val="24"/>
        </w:rPr>
        <w:t>规定的要求和条件作出实质性响应，如有漏项、重大偏离或显著保留，即视为废标；所有不完整的投标文件将被拒绝。</w:t>
      </w:r>
    </w:p>
    <w:p w14:paraId="3F97385B">
      <w:pPr>
        <w:widowControl/>
        <w:spacing w:before="156" w:beforeLines="50" w:after="156" w:afterLines="50"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三、投标</w:t>
      </w:r>
    </w:p>
    <w:p w14:paraId="443E92BE">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凡符合投标资格要求并有意参加投标者，通过电子邮件将参与投标项目信息（参与项目、投标单位名称、项目负责人、联系电话）发到指定邮箱（</w:t>
      </w:r>
      <w:r>
        <w:rPr>
          <w:rFonts w:hint="eastAsia" w:ascii="宋体" w:hAnsi="宋体" w:eastAsia="宋体" w:cs="宋体"/>
          <w:color w:val="000000"/>
          <w:kern w:val="0"/>
          <w:sz w:val="24"/>
        </w:rPr>
        <w:fldChar w:fldCharType="begin"/>
      </w:r>
      <w:r>
        <w:rPr>
          <w:rFonts w:hint="eastAsia" w:ascii="宋体" w:hAnsi="宋体" w:eastAsia="宋体" w:cs="宋体"/>
          <w:color w:val="000000"/>
          <w:kern w:val="0"/>
          <w:sz w:val="24"/>
        </w:rPr>
        <w:instrText xml:space="preserve"> HYPERLINK "mailto:zcglccg@126.com" </w:instrText>
      </w:r>
      <w:r>
        <w:rPr>
          <w:rFonts w:hint="eastAsia" w:ascii="宋体" w:hAnsi="宋体" w:eastAsia="宋体" w:cs="宋体"/>
          <w:color w:val="000000"/>
          <w:kern w:val="0"/>
          <w:sz w:val="24"/>
        </w:rPr>
        <w:fldChar w:fldCharType="separate"/>
      </w:r>
      <w:r>
        <w:rPr>
          <w:rFonts w:hint="eastAsia" w:ascii="宋体" w:hAnsi="宋体" w:eastAsia="宋体" w:cs="宋体"/>
          <w:color w:val="000000"/>
          <w:kern w:val="0"/>
          <w:sz w:val="24"/>
          <w:lang w:val="en-US" w:eastAsia="zh-CN"/>
        </w:rPr>
        <w:t>996537528@qq</w:t>
      </w:r>
      <w:r>
        <w:rPr>
          <w:rFonts w:hint="eastAsia" w:ascii="宋体" w:hAnsi="宋体" w:eastAsia="宋体" w:cs="宋体"/>
          <w:color w:val="000000"/>
          <w:kern w:val="0"/>
          <w:sz w:val="24"/>
        </w:rPr>
        <w:t>.com</w:t>
      </w:r>
      <w:r>
        <w:rPr>
          <w:rFonts w:hint="eastAsia" w:ascii="宋体" w:hAnsi="宋体" w:eastAsia="宋体" w:cs="宋体"/>
          <w:color w:val="000000"/>
          <w:kern w:val="0"/>
          <w:sz w:val="24"/>
        </w:rPr>
        <w:fldChar w:fldCharType="end"/>
      </w:r>
      <w:r>
        <w:rPr>
          <w:rFonts w:hint="eastAsia" w:ascii="宋体" w:hAnsi="宋体" w:eastAsia="宋体" w:cs="宋体"/>
          <w:color w:val="000000"/>
          <w:kern w:val="0"/>
          <w:sz w:val="24"/>
        </w:rPr>
        <w:t>）</w:t>
      </w:r>
    </w:p>
    <w:p w14:paraId="2EDF59B8">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开标之日</w:t>
      </w:r>
      <w:r>
        <w:rPr>
          <w:rFonts w:hint="eastAsia" w:ascii="宋体" w:hAnsi="宋体" w:eastAsia="宋体" w:cs="宋体"/>
          <w:color w:val="000000"/>
          <w:kern w:val="0"/>
          <w:sz w:val="24"/>
          <w:lang w:eastAsia="zh-CN"/>
        </w:rPr>
        <w:t>提</w:t>
      </w:r>
      <w:r>
        <w:rPr>
          <w:rFonts w:hint="eastAsia" w:ascii="宋体" w:hAnsi="宋体" w:eastAsia="宋体" w:cs="宋体"/>
          <w:color w:val="000000"/>
          <w:kern w:val="0"/>
          <w:sz w:val="24"/>
        </w:rPr>
        <w:t>交标书，</w:t>
      </w:r>
      <w:bookmarkStart w:id="7" w:name="_Hlk199837362"/>
      <w:r>
        <w:rPr>
          <w:rFonts w:hint="eastAsia" w:ascii="宋体" w:hAnsi="宋体" w:eastAsia="宋体" w:cs="宋体"/>
          <w:color w:val="000000"/>
          <w:kern w:val="0"/>
          <w:sz w:val="24"/>
        </w:rPr>
        <w:t>交标书时，要求纸质稿三份密封（一正二副），电子档U盘文件一份。</w:t>
      </w:r>
    </w:p>
    <w:p w14:paraId="4F12CB2E">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备注：投标单位须递交与正本内容一致的电子文件壹份（响应文件正本签字盖章后PDF扫描件电子文档一份存至U盘随响应文件同时密封递交）。</w:t>
      </w:r>
    </w:p>
    <w:p w14:paraId="6451980C">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招标人不接受电报、电话、传真和电子邮件投标，投标书递交后不得修改，也不得撤标。</w:t>
      </w:r>
    </w:p>
    <w:bookmarkEnd w:id="7"/>
    <w:p w14:paraId="08D8639A">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四、开标和评标</w:t>
      </w:r>
    </w:p>
    <w:p w14:paraId="67B8772D">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招标人将按《比选公告》中规定的时间和地点组织采购比选。</w:t>
      </w:r>
    </w:p>
    <w:p w14:paraId="17E8C8A7">
      <w:pPr>
        <w:widowControl/>
        <w:spacing w:line="360" w:lineRule="auto"/>
        <w:ind w:firstLine="480" w:firstLineChars="200"/>
        <w:jc w:val="left"/>
        <w:rPr>
          <w:rFonts w:ascii="宋体" w:hAnsi="宋体" w:cs="宋体"/>
          <w:b w:val="0"/>
          <w:bCs w:val="0"/>
          <w:color w:val="000000"/>
          <w:kern w:val="0"/>
          <w:sz w:val="24"/>
        </w:rPr>
      </w:pPr>
      <w:r>
        <w:rPr>
          <w:rFonts w:hint="eastAsia" w:ascii="宋体" w:hAnsi="宋体" w:cs="宋体"/>
          <w:b w:val="0"/>
          <w:bCs w:val="0"/>
          <w:color w:val="000000"/>
          <w:kern w:val="0"/>
          <w:sz w:val="24"/>
        </w:rPr>
        <w:t>评标的基础是投标人的报价、服务方案、业绩、服务和承诺等。</w:t>
      </w:r>
    </w:p>
    <w:p w14:paraId="0434B6E9">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对投标文件中疑义或表达不清的内容，招标人有权要求投标人予以澄清。</w:t>
      </w:r>
    </w:p>
    <w:p w14:paraId="1C511F9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合同将授予符合招标文件及综合得分最高的投标人。</w:t>
      </w:r>
    </w:p>
    <w:p w14:paraId="2D4041AA">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招标人有权在签订合同时调整采购数量。</w:t>
      </w:r>
    </w:p>
    <w:p w14:paraId="59F27464">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五、中标</w:t>
      </w:r>
    </w:p>
    <w:p w14:paraId="028D4F23">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1、中标结果公布</w:t>
      </w:r>
    </w:p>
    <w:p w14:paraId="21FD7C0A">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中标结果在湖南化工职业技术学院</w:t>
      </w:r>
      <w:r>
        <w:rPr>
          <w:rFonts w:hint="eastAsia" w:ascii="宋体" w:hAnsi="宋体" w:cs="宋体"/>
          <w:color w:val="000000"/>
          <w:kern w:val="0"/>
          <w:sz w:val="24"/>
          <w:lang w:eastAsia="zh-CN"/>
        </w:rPr>
        <w:t>发展规划处</w:t>
      </w:r>
      <w:r>
        <w:rPr>
          <w:rFonts w:hint="eastAsia" w:ascii="宋体" w:hAnsi="宋体" w:cs="宋体"/>
          <w:color w:val="000000"/>
          <w:kern w:val="0"/>
          <w:sz w:val="24"/>
        </w:rPr>
        <w:t>官网公示（https://www.hnhgzy.com/fzghc/）上查询。</w:t>
      </w:r>
    </w:p>
    <w:p w14:paraId="52D75155">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2、中标人出现下列行为之一者，其中标资格将被取消：</w:t>
      </w:r>
    </w:p>
    <w:p w14:paraId="51232774">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（1）中标人与其他投标人串通进行投标的；</w:t>
      </w:r>
    </w:p>
    <w:p w14:paraId="3D3B971C">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（2）中标人不能按中标要求签订合同的；</w:t>
      </w:r>
    </w:p>
    <w:p w14:paraId="21312383">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（3）中标人有其它损害招标人、采购人利益或社会公共利益的；</w:t>
      </w:r>
    </w:p>
    <w:p w14:paraId="731337F9">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（4）中标人在规定时间内不与招标人签订合同的；</w:t>
      </w:r>
    </w:p>
    <w:p w14:paraId="1D982BF9">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（5）中标人转让中标项目的；</w:t>
      </w:r>
    </w:p>
    <w:p w14:paraId="715B7A69">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（6）中标人的中标资格被取消后，可按中标候选单位的排名顺序依次递补或重新招标。</w:t>
      </w:r>
    </w:p>
    <w:p w14:paraId="0B1C14E4">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六、签订合同</w:t>
      </w:r>
    </w:p>
    <w:p w14:paraId="2B462BF0">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双方共同签订《</w:t>
      </w:r>
      <w:bookmarkStart w:id="8" w:name="_Hlk160810094"/>
      <w:r>
        <w:rPr>
          <w:rFonts w:hint="eastAsia" w:ascii="宋体" w:hAnsi="宋体" w:cs="宋体"/>
          <w:color w:val="000000"/>
          <w:kern w:val="0"/>
          <w:sz w:val="24"/>
        </w:rPr>
        <w:t>湖南化工职业技术学院</w:t>
      </w:r>
      <w:r>
        <w:rPr>
          <w:rFonts w:hint="eastAsia" w:ascii="宋体" w:hAnsi="宋体" w:eastAsia="宋体" w:cs="宋体"/>
          <w:i w:val="0"/>
          <w:color w:val="000000"/>
          <w:sz w:val="24"/>
          <w:szCs w:val="24"/>
          <w:lang w:val="en-US" w:eastAsia="zh-CN"/>
        </w:rPr>
        <w:t>编制“以湖南化工职业技术学院为基础设立湖南化工职业技术大学事项社会稳定风险评估报告”</w:t>
      </w:r>
      <w:r>
        <w:rPr>
          <w:rFonts w:hint="eastAsia" w:ascii="宋体" w:hAnsi="宋体" w:cs="宋体"/>
          <w:color w:val="000000"/>
          <w:kern w:val="0"/>
          <w:sz w:val="24"/>
        </w:rPr>
        <w:t>项目</w:t>
      </w:r>
      <w:bookmarkEnd w:id="8"/>
      <w:r>
        <w:rPr>
          <w:rFonts w:hint="eastAsia" w:ascii="宋体" w:hAnsi="宋体" w:cs="宋体"/>
          <w:color w:val="000000"/>
          <w:kern w:val="0"/>
          <w:sz w:val="24"/>
        </w:rPr>
        <w:t>合同书》。</w:t>
      </w:r>
    </w:p>
    <w:p w14:paraId="3191CF20">
      <w:pPr>
        <w:numPr>
          <w:ilvl w:val="0"/>
          <w:numId w:val="1"/>
        </w:numPr>
        <w:spacing w:line="360" w:lineRule="auto"/>
        <w:ind w:firstLine="482" w:firstLineChars="200"/>
        <w:rPr>
          <w:rFonts w:hint="eastAsia" w:ascii="宋体" w:hAnsi="宋体" w:cs="宋体"/>
          <w:b/>
          <w:bCs/>
          <w:color w:val="000000"/>
          <w:kern w:val="0"/>
          <w:sz w:val="24"/>
        </w:rPr>
      </w:pPr>
      <w:r>
        <w:rPr>
          <w:rFonts w:hint="eastAsia" w:ascii="宋体" w:hAnsi="宋体" w:cs="宋体"/>
          <w:b/>
          <w:bCs/>
          <w:color w:val="000000"/>
          <w:sz w:val="24"/>
        </w:rPr>
        <w:t>供应商资格要</w:t>
      </w:r>
      <w:r>
        <w:rPr>
          <w:rFonts w:hint="eastAsia" w:ascii="Times New Roman" w:hAnsi="Times New Roman" w:eastAsia="宋体" w:cs="Times New Roman"/>
          <w:kern w:val="2"/>
          <w:sz w:val="24"/>
          <w:szCs w:val="24"/>
          <w:lang w:val="en-US" w:eastAsia="zh-CN" w:bidi="ar-SA"/>
        </w:rPr>
        <w:t xml:space="preserve">求：详见比选公告。 </w:t>
      </w:r>
    </w:p>
    <w:p w14:paraId="5987528B">
      <w:pPr>
        <w:widowControl/>
        <w:numPr>
          <w:ilvl w:val="0"/>
          <w:numId w:val="2"/>
        </w:numPr>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项目需求</w:t>
      </w:r>
    </w:p>
    <w:p w14:paraId="22721F4A">
      <w:pPr>
        <w:pStyle w:val="81"/>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firstLine="0" w:firstLineChars="0"/>
        <w:textAlignment w:val="auto"/>
        <w:rPr>
          <w:rFonts w:ascii="宋体" w:hAnsi="宋体" w:cs="宋体"/>
          <w:bCs/>
          <w:color w:val="000000"/>
          <w:sz w:val="24"/>
        </w:rPr>
      </w:pPr>
      <w:r>
        <w:rPr>
          <w:rFonts w:hint="eastAsia" w:ascii="宋体" w:hAnsi="宋体" w:cs="宋体"/>
          <w:bCs/>
          <w:color w:val="000000"/>
          <w:sz w:val="24"/>
        </w:rPr>
        <w:t>项目内容：</w:t>
      </w:r>
    </w:p>
    <w:p w14:paraId="0337C5B6">
      <w:pPr>
        <w:pStyle w:val="81"/>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sz w:val="24"/>
          <w:lang w:val="en-US" w:eastAsia="zh-CN"/>
        </w:rPr>
      </w:pPr>
      <w:r>
        <w:rPr>
          <w:rFonts w:hint="eastAsia"/>
          <w:sz w:val="24"/>
          <w:lang w:val="en-US" w:eastAsia="zh-CN"/>
        </w:rPr>
        <w:t>1</w:t>
      </w:r>
      <w:r>
        <w:rPr>
          <w:rFonts w:hint="eastAsia" w:ascii="宋体" w:hAnsi="宋体" w:cs="宋体"/>
          <w:color w:val="000000"/>
          <w:kern w:val="0"/>
          <w:sz w:val="24"/>
        </w:rPr>
        <w:t>、</w:t>
      </w:r>
      <w:r>
        <w:rPr>
          <w:rFonts w:hint="eastAsia"/>
          <w:sz w:val="24"/>
          <w:lang w:val="en-US" w:eastAsia="zh-CN"/>
        </w:rPr>
        <w:t>该项目风险调查</w:t>
      </w:r>
      <w:r>
        <w:rPr>
          <w:rFonts w:hint="eastAsia"/>
          <w:sz w:val="24"/>
        </w:rPr>
        <w:br w:type="textWrapping"/>
      </w:r>
      <w:r>
        <w:rPr>
          <w:rFonts w:hint="eastAsia"/>
          <w:sz w:val="24"/>
          <w:lang w:val="en-US" w:eastAsia="zh-CN"/>
        </w:rPr>
        <w:t>2</w:t>
      </w:r>
      <w:r>
        <w:rPr>
          <w:rFonts w:hint="eastAsia" w:ascii="宋体" w:hAnsi="宋体" w:cs="宋体"/>
          <w:color w:val="000000"/>
          <w:kern w:val="0"/>
          <w:sz w:val="24"/>
        </w:rPr>
        <w:t>、</w:t>
      </w:r>
      <w:r>
        <w:rPr>
          <w:rFonts w:hint="eastAsia"/>
          <w:sz w:val="24"/>
          <w:lang w:val="en-US" w:eastAsia="zh-CN"/>
        </w:rPr>
        <w:t>该项目风险评估</w:t>
      </w:r>
    </w:p>
    <w:p w14:paraId="7D5B0E24">
      <w:pPr>
        <w:pStyle w:val="81"/>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sz w:val="24"/>
          <w:lang w:val="en-US" w:eastAsia="zh-CN"/>
        </w:rPr>
      </w:pPr>
      <w:r>
        <w:rPr>
          <w:rFonts w:hint="eastAsia"/>
          <w:sz w:val="24"/>
          <w:lang w:val="en-US" w:eastAsia="zh-CN"/>
        </w:rPr>
        <w:t>3</w:t>
      </w:r>
      <w:r>
        <w:rPr>
          <w:rFonts w:hint="eastAsia" w:ascii="宋体" w:hAnsi="宋体" w:cs="宋体"/>
          <w:color w:val="000000"/>
          <w:kern w:val="0"/>
          <w:sz w:val="24"/>
        </w:rPr>
        <w:t>、</w:t>
      </w:r>
      <w:r>
        <w:rPr>
          <w:rFonts w:hint="eastAsia"/>
          <w:sz w:val="24"/>
          <w:lang w:val="en-US" w:eastAsia="zh-CN"/>
        </w:rPr>
        <w:t>该项目风险防范和化解措施</w:t>
      </w:r>
    </w:p>
    <w:p w14:paraId="453053C8">
      <w:pPr>
        <w:pStyle w:val="81"/>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default"/>
          <w:sz w:val="24"/>
          <w:lang w:val="en-US" w:eastAsia="zh-CN"/>
        </w:rPr>
      </w:pPr>
      <w:r>
        <w:rPr>
          <w:rFonts w:hint="eastAsia"/>
          <w:sz w:val="24"/>
          <w:lang w:val="en-US" w:eastAsia="zh-CN"/>
        </w:rPr>
        <w:t>4.落实措施后的风险等级确定。</w:t>
      </w:r>
    </w:p>
    <w:p w14:paraId="1023B093">
      <w:pPr>
        <w:ind w:firstLine="480" w:firstLineChars="200"/>
        <w:rPr>
          <w:sz w:val="24"/>
        </w:rPr>
      </w:pPr>
      <w:r>
        <w:rPr>
          <w:rFonts w:hint="eastAsia" w:ascii="宋体" w:hAnsi="宋体" w:cs="宋体"/>
          <w:bCs/>
          <w:color w:val="000000"/>
          <w:sz w:val="24"/>
        </w:rPr>
        <w:t>（二）</w:t>
      </w:r>
      <w:r>
        <w:rPr>
          <w:rFonts w:hint="eastAsia"/>
          <w:sz w:val="24"/>
        </w:rPr>
        <w:t>项目成果：</w:t>
      </w:r>
    </w:p>
    <w:p w14:paraId="48C1A596">
      <w:pPr>
        <w:spacing w:before="60" w:after="80" w:line="360" w:lineRule="auto"/>
        <w:ind w:left="479" w:leftChars="228"/>
        <w:jc w:val="left"/>
        <w:rPr>
          <w:rFonts w:hint="eastAsia"/>
          <w:sz w:val="24"/>
        </w:rPr>
      </w:pPr>
      <w:r>
        <w:rPr>
          <w:rFonts w:hint="eastAsia"/>
          <w:sz w:val="24"/>
        </w:rPr>
        <w:t>1</w:t>
      </w:r>
      <w:r>
        <w:rPr>
          <w:rFonts w:hint="eastAsia" w:ascii="宋体" w:hAnsi="宋体" w:cs="宋体"/>
          <w:color w:val="000000"/>
          <w:kern w:val="0"/>
          <w:sz w:val="24"/>
        </w:rPr>
        <w:t>、</w:t>
      </w:r>
      <w:r>
        <w:rPr>
          <w:rFonts w:hint="eastAsia"/>
          <w:sz w:val="24"/>
          <w:lang w:val="en-US" w:eastAsia="zh-CN"/>
        </w:rPr>
        <w:t>该项目风险调查</w:t>
      </w:r>
      <w:r>
        <w:rPr>
          <w:rFonts w:hint="eastAsia"/>
          <w:sz w:val="24"/>
        </w:rPr>
        <w:t>报告</w:t>
      </w:r>
      <w:r>
        <w:rPr>
          <w:rFonts w:hint="eastAsia"/>
          <w:sz w:val="24"/>
        </w:rPr>
        <w:br w:type="textWrapping"/>
      </w:r>
      <w:r>
        <w:rPr>
          <w:rFonts w:hint="eastAsia"/>
          <w:sz w:val="24"/>
        </w:rPr>
        <w:t>2</w:t>
      </w:r>
      <w:r>
        <w:rPr>
          <w:rFonts w:hint="eastAsia" w:ascii="宋体" w:hAnsi="宋体" w:cs="宋体"/>
          <w:color w:val="000000"/>
          <w:kern w:val="0"/>
          <w:sz w:val="24"/>
        </w:rPr>
        <w:t>、</w:t>
      </w:r>
      <w:r>
        <w:rPr>
          <w:rFonts w:hint="eastAsia"/>
          <w:sz w:val="24"/>
          <w:lang w:val="en-US" w:eastAsia="zh-CN"/>
        </w:rPr>
        <w:t>该项目风险评估</w:t>
      </w:r>
      <w:r>
        <w:rPr>
          <w:rFonts w:hint="eastAsia"/>
          <w:sz w:val="24"/>
        </w:rPr>
        <w:t>报告</w:t>
      </w:r>
      <w:r>
        <w:rPr>
          <w:rFonts w:hint="eastAsia"/>
          <w:sz w:val="24"/>
        </w:rPr>
        <w:br w:type="textWrapping"/>
      </w:r>
      <w:r>
        <w:rPr>
          <w:rFonts w:hint="eastAsia"/>
          <w:sz w:val="24"/>
        </w:rPr>
        <w:t>3</w:t>
      </w:r>
      <w:r>
        <w:rPr>
          <w:rFonts w:hint="eastAsia" w:ascii="宋体" w:hAnsi="宋体" w:cs="宋体"/>
          <w:color w:val="000000"/>
          <w:kern w:val="0"/>
          <w:sz w:val="24"/>
        </w:rPr>
        <w:t>、</w:t>
      </w:r>
      <w:r>
        <w:rPr>
          <w:rFonts w:hint="eastAsia"/>
          <w:sz w:val="24"/>
          <w:lang w:val="en-US" w:eastAsia="zh-CN"/>
        </w:rPr>
        <w:t>该项目风险防范和化解措施</w:t>
      </w:r>
      <w:r>
        <w:rPr>
          <w:rFonts w:hint="eastAsia"/>
          <w:sz w:val="24"/>
        </w:rPr>
        <w:t>报告</w:t>
      </w:r>
    </w:p>
    <w:p w14:paraId="623934B0">
      <w:pPr>
        <w:spacing w:before="60" w:after="80" w:line="360" w:lineRule="auto"/>
        <w:ind w:left="479" w:leftChars="228"/>
        <w:jc w:val="left"/>
        <w:rPr>
          <w:rFonts w:hint="default" w:eastAsia="宋体"/>
          <w:sz w:val="24"/>
          <w:lang w:val="en-US" w:eastAsia="zh-CN"/>
        </w:rPr>
      </w:pPr>
      <w:r>
        <w:rPr>
          <w:rFonts w:hint="eastAsia"/>
          <w:sz w:val="24"/>
          <w:lang w:val="en-US" w:eastAsia="zh-CN"/>
        </w:rPr>
        <w:t>4</w:t>
      </w:r>
      <w:r>
        <w:rPr>
          <w:rFonts w:hint="eastAsia" w:ascii="宋体" w:hAnsi="宋体" w:cs="宋体"/>
          <w:color w:val="000000"/>
          <w:kern w:val="0"/>
          <w:sz w:val="24"/>
        </w:rPr>
        <w:t>、</w:t>
      </w:r>
      <w:r>
        <w:rPr>
          <w:rFonts w:hint="eastAsia"/>
          <w:sz w:val="24"/>
          <w:lang w:val="en-US" w:eastAsia="zh-CN"/>
        </w:rPr>
        <w:t>落实措施后的风险等级确定报告</w:t>
      </w:r>
    </w:p>
    <w:p w14:paraId="6060AC36">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（三）服务时间：</w:t>
      </w:r>
    </w:p>
    <w:p w14:paraId="554F7287">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项目在202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15</w:t>
      </w:r>
      <w:r>
        <w:rPr>
          <w:rFonts w:hint="eastAsia" w:ascii="宋体" w:hAnsi="宋体" w:cs="宋体"/>
          <w:kern w:val="0"/>
          <w:sz w:val="24"/>
        </w:rPr>
        <w:t>日前完成，完成全部</w:t>
      </w:r>
      <w:r>
        <w:rPr>
          <w:rFonts w:hint="eastAsia" w:ascii="宋体" w:hAnsi="宋体" w:cs="宋体"/>
          <w:kern w:val="0"/>
          <w:sz w:val="24"/>
          <w:lang w:val="en-US" w:eastAsia="zh-CN"/>
        </w:rPr>
        <w:t>风险评估</w:t>
      </w:r>
      <w:r>
        <w:rPr>
          <w:rFonts w:hint="eastAsia" w:ascii="宋体" w:hAnsi="宋体" w:cs="宋体"/>
          <w:kern w:val="0"/>
          <w:sz w:val="24"/>
        </w:rPr>
        <w:t>工作，出具</w:t>
      </w:r>
      <w:r>
        <w:rPr>
          <w:rFonts w:hint="eastAsia" w:ascii="宋体" w:hAnsi="宋体" w:cs="宋体"/>
          <w:kern w:val="0"/>
          <w:sz w:val="24"/>
          <w:lang w:val="en-US" w:eastAsia="zh-CN"/>
        </w:rPr>
        <w:t>风险评估报告</w:t>
      </w:r>
      <w:r>
        <w:rPr>
          <w:rFonts w:hint="eastAsia" w:ascii="宋体" w:hAnsi="宋体" w:cs="宋体"/>
          <w:kern w:val="0"/>
          <w:sz w:val="24"/>
        </w:rPr>
        <w:t>。</w:t>
      </w:r>
    </w:p>
    <w:p w14:paraId="71FBE318">
      <w:pPr>
        <w:widowControl/>
        <w:spacing w:line="360" w:lineRule="auto"/>
        <w:ind w:firstLine="480" w:firstLineChars="200"/>
        <w:jc w:val="left"/>
        <w:rPr>
          <w:b w:val="0"/>
          <w:bCs w:val="0"/>
        </w:rPr>
      </w:pPr>
      <w:r>
        <w:rPr>
          <w:rFonts w:hint="eastAsia" w:ascii="宋体" w:hAnsi="宋体" w:cs="宋体"/>
          <w:kern w:val="0"/>
          <w:sz w:val="24"/>
        </w:rPr>
        <w:t>（</w:t>
      </w:r>
      <w:r>
        <w:rPr>
          <w:rFonts w:hint="eastAsia" w:ascii="宋体" w:hAnsi="宋体" w:cs="宋体"/>
          <w:kern w:val="0"/>
          <w:sz w:val="24"/>
          <w:lang w:eastAsia="zh-CN"/>
        </w:rPr>
        <w:t>四</w:t>
      </w:r>
      <w:r>
        <w:rPr>
          <w:rFonts w:hint="eastAsia" w:ascii="宋体" w:hAnsi="宋体" w:cs="宋体"/>
          <w:kern w:val="0"/>
          <w:sz w:val="24"/>
        </w:rPr>
        <w:t>）其他要求</w:t>
      </w:r>
    </w:p>
    <w:p w14:paraId="12F5522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b w:val="0"/>
          <w:bCs w:val="0"/>
          <w:sz w:val="24"/>
          <w:szCs w:val="24"/>
        </w:rPr>
      </w:pPr>
      <w:r>
        <w:rPr>
          <w:rFonts w:hint="eastAsia" w:ascii="宋体" w:hAnsi="宋体" w:cs="宋体"/>
          <w:b w:val="0"/>
          <w:bCs w:val="0"/>
          <w:kern w:val="0"/>
          <w:sz w:val="24"/>
          <w:szCs w:val="24"/>
        </w:rPr>
        <w:t>1</w:t>
      </w:r>
      <w:r>
        <w:rPr>
          <w:rFonts w:hint="eastAsia" w:ascii="宋体" w:hAnsi="宋体" w:cs="宋体"/>
          <w:color w:val="000000"/>
          <w:kern w:val="0"/>
          <w:sz w:val="24"/>
        </w:rPr>
        <w:t>、</w:t>
      </w:r>
      <w:r>
        <w:rPr>
          <w:rFonts w:hint="eastAsia" w:ascii="宋体" w:hAnsi="宋体" w:cs="宋体"/>
          <w:b w:val="0"/>
          <w:bCs w:val="0"/>
          <w:kern w:val="0"/>
          <w:sz w:val="24"/>
          <w:szCs w:val="24"/>
        </w:rPr>
        <w:t>交付时间及地点</w:t>
      </w:r>
    </w:p>
    <w:p w14:paraId="504F786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kern w:val="0"/>
          <w:sz w:val="24"/>
          <w:szCs w:val="24"/>
        </w:rPr>
      </w:pPr>
      <w:r>
        <w:rPr>
          <w:rFonts w:hint="eastAsia" w:ascii="宋体" w:hAnsi="宋体" w:cs="宋体"/>
          <w:kern w:val="0"/>
          <w:sz w:val="24"/>
          <w:szCs w:val="24"/>
        </w:rPr>
        <w:t>交付时间：合同签订后</w:t>
      </w:r>
      <w:r>
        <w:rPr>
          <w:rFonts w:hint="eastAsia" w:ascii="宋体" w:hAnsi="宋体" w:cs="宋体"/>
          <w:kern w:val="0"/>
          <w:sz w:val="24"/>
          <w:szCs w:val="24"/>
          <w:lang w:val="en-US" w:eastAsia="zh-CN"/>
        </w:rPr>
        <w:t>20</w:t>
      </w:r>
      <w:r>
        <w:rPr>
          <w:rFonts w:hint="eastAsia" w:ascii="宋体" w:hAnsi="宋体" w:cs="宋体"/>
          <w:kern w:val="0"/>
          <w:sz w:val="24"/>
          <w:szCs w:val="24"/>
        </w:rPr>
        <w:t>天内完成所有项目并</w:t>
      </w:r>
      <w:r>
        <w:rPr>
          <w:rFonts w:hint="eastAsia" w:ascii="宋体" w:hAnsi="宋体" w:cs="宋体"/>
          <w:kern w:val="0"/>
          <w:sz w:val="24"/>
          <w:szCs w:val="24"/>
          <w:lang w:val="en-US" w:eastAsia="zh-CN"/>
        </w:rPr>
        <w:t>将风险评估报告纸质稿一式8份</w:t>
      </w:r>
      <w:r>
        <w:rPr>
          <w:rFonts w:hint="eastAsia" w:ascii="宋体" w:hAnsi="宋体" w:cs="宋体"/>
          <w:kern w:val="0"/>
          <w:sz w:val="24"/>
          <w:szCs w:val="24"/>
        </w:rPr>
        <w:t>交付</w:t>
      </w:r>
      <w:r>
        <w:rPr>
          <w:rFonts w:hint="eastAsia" w:ascii="宋体" w:hAnsi="宋体" w:cs="宋体"/>
          <w:kern w:val="0"/>
          <w:sz w:val="24"/>
          <w:szCs w:val="24"/>
          <w:lang w:val="en-US" w:eastAsia="zh-CN"/>
        </w:rPr>
        <w:t>给</w:t>
      </w:r>
      <w:r>
        <w:rPr>
          <w:rFonts w:hint="eastAsia" w:ascii="宋体" w:hAnsi="宋体" w:cs="宋体"/>
          <w:kern w:val="0"/>
          <w:sz w:val="24"/>
          <w:szCs w:val="24"/>
        </w:rPr>
        <w:t>湖南化工职业技术学院。</w:t>
      </w:r>
    </w:p>
    <w:p w14:paraId="2B3C995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cs="宋体"/>
          <w:kern w:val="0"/>
          <w:sz w:val="24"/>
          <w:szCs w:val="24"/>
        </w:rPr>
        <w:t>交付地点：湖南化工职业技术学院学院</w:t>
      </w:r>
      <w:r>
        <w:rPr>
          <w:rFonts w:hint="eastAsia" w:ascii="宋体" w:hAnsi="宋体" w:cs="宋体"/>
          <w:kern w:val="0"/>
          <w:sz w:val="24"/>
          <w:szCs w:val="24"/>
          <w:lang w:val="en-US" w:eastAsia="zh-CN"/>
        </w:rPr>
        <w:t>上善楼215办公室</w:t>
      </w:r>
      <w:r>
        <w:rPr>
          <w:rFonts w:hint="eastAsia" w:ascii="宋体" w:hAnsi="宋体" w:cs="宋体"/>
          <w:kern w:val="0"/>
          <w:sz w:val="24"/>
          <w:szCs w:val="24"/>
        </w:rPr>
        <w:t>。</w:t>
      </w:r>
    </w:p>
    <w:p w14:paraId="02117EA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b w:val="0"/>
          <w:bCs w:val="0"/>
          <w:sz w:val="24"/>
          <w:szCs w:val="24"/>
        </w:rPr>
      </w:pPr>
      <w:r>
        <w:rPr>
          <w:rFonts w:hint="eastAsia" w:ascii="宋体" w:hAnsi="宋体" w:cs="宋体"/>
          <w:b w:val="0"/>
          <w:bCs w:val="0"/>
          <w:kern w:val="0"/>
          <w:sz w:val="24"/>
          <w:szCs w:val="24"/>
        </w:rPr>
        <w:t>2</w:t>
      </w:r>
      <w:r>
        <w:rPr>
          <w:rFonts w:hint="eastAsia" w:ascii="宋体" w:hAnsi="宋体" w:cs="宋体"/>
          <w:color w:val="000000"/>
          <w:kern w:val="0"/>
          <w:sz w:val="24"/>
        </w:rPr>
        <w:t>、</w:t>
      </w:r>
      <w:r>
        <w:rPr>
          <w:rFonts w:hint="eastAsia" w:ascii="宋体" w:hAnsi="宋体" w:cs="宋体"/>
          <w:b w:val="0"/>
          <w:bCs w:val="0"/>
          <w:kern w:val="0"/>
          <w:sz w:val="24"/>
          <w:szCs w:val="24"/>
        </w:rPr>
        <w:t xml:space="preserve">付款人及方式 </w:t>
      </w:r>
    </w:p>
    <w:p w14:paraId="694DE74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cs="宋体"/>
          <w:kern w:val="0"/>
          <w:sz w:val="24"/>
          <w:szCs w:val="24"/>
        </w:rPr>
        <w:t>(1)付款人：湖南化工职业技术学院</w:t>
      </w:r>
    </w:p>
    <w:p w14:paraId="082BF4C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kern w:val="0"/>
          <w:sz w:val="24"/>
          <w:szCs w:val="24"/>
        </w:rPr>
      </w:pPr>
      <w:r>
        <w:rPr>
          <w:rFonts w:hint="eastAsia" w:ascii="宋体" w:hAnsi="宋体" w:cs="宋体"/>
          <w:kern w:val="0"/>
          <w:sz w:val="24"/>
          <w:szCs w:val="24"/>
        </w:rPr>
        <w:t>(2)付款方式：</w:t>
      </w:r>
      <w:r>
        <w:rPr>
          <w:rFonts w:hint="eastAsia" w:ascii="宋体" w:hAnsi="宋体" w:cs="宋体"/>
          <w:kern w:val="0"/>
          <w:sz w:val="24"/>
          <w:szCs w:val="24"/>
          <w:lang w:val="en-US" w:eastAsia="zh-CN"/>
        </w:rPr>
        <w:t>风险评估报告交付</w:t>
      </w:r>
      <w:r>
        <w:rPr>
          <w:rFonts w:hint="eastAsia" w:ascii="宋体" w:hAnsi="宋体" w:cs="宋体"/>
          <w:kern w:val="0"/>
          <w:sz w:val="24"/>
          <w:szCs w:val="24"/>
        </w:rPr>
        <w:t>后的</w:t>
      </w:r>
      <w:r>
        <w:rPr>
          <w:rFonts w:hint="eastAsia" w:ascii="宋体" w:hAnsi="宋体" w:cs="宋体"/>
          <w:kern w:val="0"/>
          <w:sz w:val="24"/>
          <w:szCs w:val="24"/>
          <w:lang w:val="en-US" w:eastAsia="zh-CN"/>
        </w:rPr>
        <w:t>20</w:t>
      </w:r>
      <w:r>
        <w:rPr>
          <w:rFonts w:hint="eastAsia" w:ascii="宋体" w:hAnsi="宋体" w:cs="宋体"/>
          <w:kern w:val="0"/>
          <w:sz w:val="24"/>
          <w:szCs w:val="24"/>
        </w:rPr>
        <w:t>个工作日内，</w:t>
      </w:r>
      <w:r>
        <w:rPr>
          <w:rFonts w:hint="eastAsia" w:ascii="宋体" w:hAnsi="宋体" w:cs="宋体"/>
          <w:kern w:val="0"/>
          <w:sz w:val="24"/>
          <w:szCs w:val="24"/>
          <w:lang w:val="en-US" w:eastAsia="zh-CN"/>
        </w:rPr>
        <w:t>供应商提供发票，</w:t>
      </w:r>
      <w:r>
        <w:rPr>
          <w:rFonts w:hint="eastAsia" w:ascii="宋体" w:hAnsi="宋体" w:cs="宋体"/>
          <w:kern w:val="0"/>
          <w:sz w:val="24"/>
          <w:szCs w:val="24"/>
        </w:rPr>
        <w:t>采购人</w:t>
      </w:r>
      <w:r>
        <w:rPr>
          <w:rFonts w:hint="eastAsia" w:ascii="宋体" w:hAnsi="宋体" w:cs="宋体"/>
          <w:kern w:val="0"/>
          <w:sz w:val="24"/>
          <w:szCs w:val="24"/>
          <w:lang w:eastAsia="zh-CN"/>
        </w:rPr>
        <w:t>在</w:t>
      </w:r>
      <w:r>
        <w:rPr>
          <w:rFonts w:hint="eastAsia" w:ascii="宋体" w:hAnsi="宋体" w:cs="宋体"/>
          <w:kern w:val="0"/>
          <w:sz w:val="24"/>
          <w:szCs w:val="24"/>
          <w:lang w:val="en-US" w:eastAsia="zh-CN"/>
        </w:rPr>
        <w:t>收到发票后30个工作日内，将</w:t>
      </w:r>
      <w:r>
        <w:rPr>
          <w:rFonts w:hint="eastAsia" w:ascii="宋体" w:hAnsi="宋体" w:cs="宋体"/>
          <w:kern w:val="0"/>
          <w:sz w:val="24"/>
          <w:szCs w:val="24"/>
        </w:rPr>
        <w:t>湖南化工职业技术学院</w:t>
      </w:r>
      <w:r>
        <w:rPr>
          <w:rFonts w:hint="eastAsia" w:ascii="宋体" w:hAnsi="宋体" w:cs="宋体"/>
          <w:kern w:val="0"/>
          <w:sz w:val="24"/>
          <w:szCs w:val="24"/>
          <w:lang w:val="en-US" w:eastAsia="zh-CN"/>
        </w:rPr>
        <w:t>编制“以湖南化工职业技术学院为基础设立湖南化工职业技术大学事项社会稳定风险评估报告”项目合同金额款项支付到供应商指定账户。</w:t>
      </w:r>
    </w:p>
    <w:p w14:paraId="3DA939F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kern w:val="0"/>
          <w:sz w:val="24"/>
          <w:szCs w:val="24"/>
        </w:rPr>
      </w:pPr>
      <w:r>
        <w:rPr>
          <w:rFonts w:hint="eastAsia" w:ascii="宋体" w:hAnsi="宋体" w:cs="宋体"/>
          <w:kern w:val="0"/>
          <w:sz w:val="24"/>
          <w:szCs w:val="24"/>
        </w:rPr>
        <w:t>(3)本合同总价包括</w:t>
      </w:r>
      <w:r>
        <w:rPr>
          <w:rFonts w:hint="eastAsia" w:ascii="宋体" w:hAnsi="宋体" w:cs="宋体"/>
          <w:kern w:val="0"/>
          <w:sz w:val="24"/>
          <w:szCs w:val="24"/>
          <w:lang w:eastAsia="zh-CN"/>
        </w:rPr>
        <w:t>：</w:t>
      </w:r>
      <w:r>
        <w:rPr>
          <w:rFonts w:hint="eastAsia" w:ascii="宋体" w:hAnsi="宋体" w:cs="宋体"/>
          <w:kern w:val="0"/>
          <w:sz w:val="24"/>
          <w:szCs w:val="24"/>
        </w:rPr>
        <w:t>中标人履行本合同义务所发生的一切费用和支出，包括为实施本项目</w:t>
      </w:r>
      <w:r>
        <w:rPr>
          <w:rFonts w:hint="eastAsia" w:ascii="宋体" w:hAnsi="宋体" w:cs="宋体"/>
          <w:kern w:val="0"/>
          <w:sz w:val="24"/>
          <w:szCs w:val="24"/>
          <w:lang w:val="en-US" w:eastAsia="zh-CN"/>
        </w:rPr>
        <w:t>税金、人工等</w:t>
      </w:r>
      <w:r>
        <w:rPr>
          <w:rFonts w:hint="eastAsia" w:ascii="宋体" w:hAnsi="宋体" w:cs="宋体"/>
          <w:kern w:val="0"/>
          <w:sz w:val="24"/>
          <w:szCs w:val="24"/>
        </w:rPr>
        <w:t>所发生的费用等。</w:t>
      </w:r>
    </w:p>
    <w:p w14:paraId="36921AD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kern w:val="0"/>
          <w:sz w:val="24"/>
          <w:szCs w:val="24"/>
        </w:rPr>
      </w:pPr>
      <w:r>
        <w:rPr>
          <w:rFonts w:hint="eastAsia" w:ascii="宋体" w:hAnsi="宋体" w:cs="宋体"/>
          <w:kern w:val="0"/>
          <w:sz w:val="24"/>
          <w:szCs w:val="24"/>
        </w:rPr>
        <w:t xml:space="preserve">(4)供应商在投标前，如需踏勘现场，有关费用自理，踏勘期间发生的意外自负。 </w:t>
      </w:r>
    </w:p>
    <w:p w14:paraId="1C58187C">
      <w:pPr>
        <w:keepNext w:val="0"/>
        <w:keepLines w:val="0"/>
        <w:pageBreakBefore w:val="0"/>
        <w:kinsoku/>
        <w:wordWrap/>
        <w:overflowPunct/>
        <w:topLinePunct w:val="0"/>
        <w:autoSpaceDE/>
        <w:autoSpaceDN/>
        <w:bidi w:val="0"/>
        <w:adjustRightInd/>
        <w:snapToGrid/>
        <w:spacing w:before="60" w:after="80" w:line="360" w:lineRule="auto"/>
        <w:ind w:firstLine="482" w:firstLineChars="200"/>
        <w:jc w:val="both"/>
        <w:textAlignment w:val="auto"/>
        <w:rPr>
          <w:color w:val="auto"/>
          <w:sz w:val="24"/>
          <w:szCs w:val="24"/>
        </w:rPr>
      </w:pPr>
      <w:r>
        <w:rPr>
          <w:rFonts w:hint="eastAsia" w:ascii="宋体" w:hAnsi="宋体" w:cs="宋体"/>
          <w:b/>
          <w:color w:val="auto"/>
          <w:sz w:val="24"/>
          <w:szCs w:val="24"/>
        </w:rPr>
        <w:t>对于上述项目要求，投标人应在投标文件中进行回应，作出承诺及说明。</w:t>
      </w:r>
    </w:p>
    <w:p w14:paraId="05505CB0">
      <w:pPr>
        <w:widowControl/>
        <w:spacing w:line="375" w:lineRule="atLeast"/>
        <w:jc w:val="left"/>
        <w:rPr>
          <w:rFonts w:hint="eastAsia" w:ascii="黑体" w:hAnsi="黑体" w:eastAsia="黑体" w:cs="黑体"/>
          <w:b/>
          <w:color w:val="auto"/>
          <w:kern w:val="0"/>
          <w:sz w:val="24"/>
        </w:rPr>
      </w:pPr>
      <w:r>
        <w:rPr>
          <w:rFonts w:hint="eastAsia" w:ascii="黑体" w:hAnsi="黑体" w:eastAsia="黑体" w:cs="黑体"/>
          <w:b/>
          <w:color w:val="auto"/>
          <w:kern w:val="0"/>
          <w:sz w:val="24"/>
        </w:rPr>
        <w:t>附件1</w:t>
      </w:r>
    </w:p>
    <w:p w14:paraId="20B0B854">
      <w:pPr>
        <w:widowControl/>
        <w:spacing w:line="440"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湖南化工职业技术学院</w:t>
      </w:r>
    </w:p>
    <w:p w14:paraId="1F750AD5">
      <w:pPr>
        <w:spacing w:line="360" w:lineRule="auto"/>
        <w:jc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kern w:val="0"/>
          <w:sz w:val="28"/>
          <w:szCs w:val="28"/>
        </w:rPr>
        <w:t>编制“以湖南化工职业技术学院为基础设立湖南化工职业技术大学事项社会稳定风险评估报告”</w:t>
      </w:r>
      <w:r>
        <w:rPr>
          <w:rFonts w:hint="eastAsia" w:ascii="微软雅黑" w:hAnsi="微软雅黑" w:eastAsia="微软雅黑" w:cs="微软雅黑"/>
          <w:b/>
          <w:color w:val="auto"/>
          <w:sz w:val="28"/>
          <w:szCs w:val="28"/>
        </w:rPr>
        <w:t>项目</w:t>
      </w:r>
    </w:p>
    <w:p w14:paraId="65A98782">
      <w:pPr>
        <w:spacing w:line="360" w:lineRule="auto"/>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投标书（格式）</w:t>
      </w:r>
    </w:p>
    <w:p w14:paraId="4B5B7A09">
      <w:pPr>
        <w:widowControl/>
        <w:spacing w:before="156" w:beforeLines="50" w:line="420" w:lineRule="exact"/>
        <w:ind w:firstLine="480" w:firstLineChars="200"/>
        <w:jc w:val="left"/>
        <w:rPr>
          <w:rFonts w:ascii="宋体" w:hAnsi="宋体" w:cs="宋体"/>
          <w:color w:val="auto"/>
          <w:kern w:val="0"/>
          <w:sz w:val="24"/>
        </w:rPr>
      </w:pPr>
      <w:r>
        <w:rPr>
          <w:rFonts w:ascii="宋体" w:hAnsi="宋体" w:cs="宋体"/>
          <w:color w:val="auto"/>
          <w:kern w:val="0"/>
          <w:sz w:val="24"/>
        </w:rPr>
        <w:t>致：湖南</w:t>
      </w:r>
      <w:r>
        <w:rPr>
          <w:rFonts w:hint="eastAsia" w:ascii="宋体" w:hAnsi="宋体" w:cs="宋体"/>
          <w:color w:val="auto"/>
          <w:kern w:val="0"/>
          <w:sz w:val="24"/>
        </w:rPr>
        <w:t>化工职业技术学院</w:t>
      </w:r>
      <w:r>
        <w:rPr>
          <w:rFonts w:ascii="宋体" w:hAnsi="宋体" w:cs="宋体"/>
          <w:color w:val="auto"/>
          <w:kern w:val="0"/>
          <w:sz w:val="24"/>
        </w:rPr>
        <w:t>：</w:t>
      </w:r>
    </w:p>
    <w:p w14:paraId="67C4B443">
      <w:pPr>
        <w:widowControl/>
        <w:spacing w:line="420" w:lineRule="exact"/>
        <w:ind w:left="239" w:leftChars="114" w:firstLine="240" w:firstLineChars="100"/>
        <w:jc w:val="left"/>
        <w:rPr>
          <w:rFonts w:ascii="宋体" w:hAnsi="宋体"/>
          <w:color w:val="auto"/>
          <w:kern w:val="0"/>
          <w:sz w:val="24"/>
        </w:rPr>
      </w:pPr>
      <w:r>
        <w:rPr>
          <w:rFonts w:ascii="宋体" w:hAnsi="宋体" w:cs="宋体"/>
          <w:color w:val="auto"/>
          <w:kern w:val="0"/>
          <w:sz w:val="24"/>
        </w:rPr>
        <w:t>根据你</w:t>
      </w:r>
      <w:r>
        <w:rPr>
          <w:rFonts w:hint="eastAsia" w:ascii="宋体" w:hAnsi="宋体" w:cs="宋体"/>
          <w:color w:val="auto"/>
          <w:kern w:val="0"/>
          <w:sz w:val="24"/>
        </w:rPr>
        <w:t>院</w:t>
      </w:r>
      <w:r>
        <w:rPr>
          <w:rFonts w:ascii="宋体" w:hAnsi="宋体" w:cs="宋体"/>
          <w:color w:val="auto"/>
          <w:kern w:val="0"/>
          <w:sz w:val="24"/>
        </w:rPr>
        <w:t>的招标文件的要求</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ascii="宋体" w:hAnsi="宋体" w:cs="宋体"/>
          <w:color w:val="auto"/>
          <w:kern w:val="0"/>
          <w:sz w:val="24"/>
          <w:u w:val="single"/>
        </w:rPr>
        <w:t>（全名及</w:t>
      </w:r>
      <w:r>
        <w:rPr>
          <w:rFonts w:hint="eastAsia" w:ascii="宋体" w:hAnsi="宋体" w:cs="宋体"/>
          <w:color w:val="auto"/>
          <w:kern w:val="0"/>
          <w:sz w:val="24"/>
          <w:u w:val="single"/>
        </w:rPr>
        <w:t>职衔</w:t>
      </w:r>
      <w:r>
        <w:rPr>
          <w:rFonts w:ascii="宋体" w:hAnsi="宋体" w:cs="宋体"/>
          <w:color w:val="auto"/>
          <w:kern w:val="0"/>
          <w:sz w:val="24"/>
          <w:u w:val="single"/>
        </w:rPr>
        <w:t>）</w:t>
      </w:r>
      <w:r>
        <w:rPr>
          <w:rFonts w:hint="eastAsia" w:ascii="宋体" w:hAnsi="宋体" w:cs="宋体"/>
          <w:color w:val="auto"/>
          <w:kern w:val="0"/>
          <w:sz w:val="24"/>
          <w:u w:val="single"/>
        </w:rPr>
        <w:t xml:space="preserve">   </w:t>
      </w:r>
      <w:r>
        <w:rPr>
          <w:rFonts w:ascii="宋体" w:hAnsi="宋体" w:cs="宋体"/>
          <w:color w:val="auto"/>
          <w:kern w:val="0"/>
          <w:sz w:val="24"/>
        </w:rPr>
        <w:t>经正式授权并以投标人</w:t>
      </w:r>
      <w:r>
        <w:rPr>
          <w:rFonts w:ascii="宋体" w:hAnsi="宋体"/>
          <w:color w:val="auto"/>
          <w:kern w:val="0"/>
          <w:sz w:val="24"/>
        </w:rPr>
        <w:t xml:space="preserve">                 </w:t>
      </w:r>
    </w:p>
    <w:p w14:paraId="69EA72C2">
      <w:pPr>
        <w:widowControl/>
        <w:spacing w:after="156" w:afterLines="50" w:line="420" w:lineRule="exact"/>
        <w:jc w:val="left"/>
        <w:rPr>
          <w:rFonts w:ascii="宋体" w:hAnsi="宋体" w:cs="宋体"/>
          <w:color w:val="auto"/>
          <w:kern w:val="0"/>
          <w:sz w:val="24"/>
        </w:rPr>
      </w:pPr>
      <w:r>
        <w:rPr>
          <w:rFonts w:ascii="宋体" w:hAnsi="宋体" w:cs="宋体"/>
          <w:color w:val="auto"/>
          <w:kern w:val="0"/>
          <w:sz w:val="24"/>
          <w:u w:val="single"/>
        </w:rPr>
        <w:t>（投标人名称）</w:t>
      </w:r>
      <w:r>
        <w:rPr>
          <w:rFonts w:hint="eastAsia" w:ascii="宋体" w:hAnsi="宋体" w:cs="宋体"/>
          <w:color w:val="auto"/>
          <w:kern w:val="0"/>
          <w:sz w:val="24"/>
          <w:u w:val="single"/>
        </w:rPr>
        <w:t xml:space="preserve">    </w:t>
      </w:r>
      <w:r>
        <w:rPr>
          <w:rFonts w:ascii="宋体" w:hAnsi="宋体" w:cs="宋体"/>
          <w:color w:val="auto"/>
          <w:kern w:val="0"/>
          <w:sz w:val="24"/>
        </w:rPr>
        <w:t>的名义投标。提交下述文件：</w:t>
      </w:r>
    </w:p>
    <w:p w14:paraId="1F1898ED">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1</w:t>
      </w:r>
      <w:r>
        <w:rPr>
          <w:rFonts w:ascii="宋体" w:hAnsi="宋体" w:cs="宋体"/>
          <w:color w:val="auto"/>
          <w:kern w:val="0"/>
          <w:sz w:val="24"/>
        </w:rPr>
        <w:t>、投标书</w:t>
      </w:r>
      <w:r>
        <w:rPr>
          <w:rFonts w:hint="eastAsia" w:ascii="宋体" w:hAnsi="宋体" w:cs="宋体"/>
          <w:color w:val="auto"/>
          <w:kern w:val="0"/>
          <w:sz w:val="24"/>
        </w:rPr>
        <w:t>；</w:t>
      </w:r>
    </w:p>
    <w:p w14:paraId="7B8A18E0">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2</w:t>
      </w:r>
      <w:r>
        <w:rPr>
          <w:rFonts w:ascii="宋体" w:hAnsi="宋体" w:cs="宋体"/>
          <w:color w:val="auto"/>
          <w:kern w:val="0"/>
          <w:sz w:val="24"/>
        </w:rPr>
        <w:t>、开标明细表</w:t>
      </w:r>
      <w:r>
        <w:rPr>
          <w:rFonts w:hint="eastAsia" w:ascii="宋体" w:hAnsi="宋体" w:cs="宋体"/>
          <w:color w:val="auto"/>
          <w:kern w:val="0"/>
          <w:sz w:val="24"/>
        </w:rPr>
        <w:t>；</w:t>
      </w:r>
    </w:p>
    <w:p w14:paraId="51A33067">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3</w:t>
      </w:r>
      <w:r>
        <w:rPr>
          <w:rFonts w:ascii="宋体" w:hAnsi="宋体" w:cs="宋体"/>
          <w:color w:val="auto"/>
          <w:kern w:val="0"/>
          <w:sz w:val="24"/>
        </w:rPr>
        <w:t>、服务承诺书</w:t>
      </w:r>
      <w:r>
        <w:rPr>
          <w:rFonts w:hint="eastAsia" w:ascii="宋体" w:hAnsi="宋体" w:cs="宋体"/>
          <w:color w:val="auto"/>
          <w:kern w:val="0"/>
          <w:sz w:val="24"/>
        </w:rPr>
        <w:t>；</w:t>
      </w:r>
    </w:p>
    <w:p w14:paraId="48B6C14B">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4</w:t>
      </w:r>
      <w:r>
        <w:rPr>
          <w:rFonts w:ascii="宋体" w:hAnsi="宋体" w:cs="宋体"/>
          <w:color w:val="auto"/>
          <w:kern w:val="0"/>
          <w:sz w:val="24"/>
        </w:rPr>
        <w:t>、投标单位基本情况</w:t>
      </w:r>
      <w:r>
        <w:rPr>
          <w:rFonts w:hint="eastAsia" w:ascii="宋体" w:hAnsi="宋体" w:cs="宋体"/>
          <w:color w:val="auto"/>
          <w:kern w:val="0"/>
          <w:sz w:val="24"/>
        </w:rPr>
        <w:t>；</w:t>
      </w:r>
    </w:p>
    <w:p w14:paraId="7CECEC50">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5</w:t>
      </w:r>
      <w:r>
        <w:rPr>
          <w:rFonts w:ascii="宋体" w:hAnsi="宋体" w:cs="宋体"/>
          <w:color w:val="auto"/>
          <w:kern w:val="0"/>
          <w:sz w:val="24"/>
        </w:rPr>
        <w:t>、资格文件</w:t>
      </w:r>
      <w:r>
        <w:rPr>
          <w:rFonts w:hint="eastAsia" w:ascii="宋体" w:hAnsi="宋体" w:cs="宋体"/>
          <w:color w:val="auto"/>
          <w:kern w:val="0"/>
          <w:sz w:val="24"/>
        </w:rPr>
        <w:t>。</w:t>
      </w:r>
    </w:p>
    <w:p w14:paraId="593E34CE">
      <w:pPr>
        <w:widowControl/>
        <w:spacing w:line="420" w:lineRule="exact"/>
        <w:jc w:val="left"/>
        <w:rPr>
          <w:rFonts w:hint="eastAsia" w:ascii="宋体" w:hAnsi="宋体"/>
          <w:color w:val="auto"/>
          <w:kern w:val="0"/>
          <w:sz w:val="24"/>
        </w:rPr>
      </w:pPr>
      <w:r>
        <w:rPr>
          <w:rFonts w:hint="eastAsia" w:ascii="宋体" w:hAnsi="宋体"/>
          <w:color w:val="auto"/>
          <w:kern w:val="0"/>
          <w:sz w:val="24"/>
        </w:rPr>
        <w:t xml:space="preserve">    </w:t>
      </w:r>
    </w:p>
    <w:p w14:paraId="6B18394A">
      <w:pPr>
        <w:widowControl/>
        <w:spacing w:line="42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w:t>
      </w:r>
      <w:r>
        <w:rPr>
          <w:rFonts w:ascii="宋体" w:hAnsi="宋体" w:cs="宋体"/>
          <w:b/>
          <w:bCs/>
          <w:color w:val="auto"/>
          <w:kern w:val="0"/>
          <w:sz w:val="24"/>
        </w:rPr>
        <w:t>签字代表在此声明并同意</w:t>
      </w:r>
      <w:r>
        <w:rPr>
          <w:rFonts w:hint="eastAsia" w:ascii="宋体" w:hAnsi="宋体" w:cs="宋体"/>
          <w:b/>
          <w:bCs/>
          <w:color w:val="auto"/>
          <w:kern w:val="0"/>
          <w:sz w:val="24"/>
        </w:rPr>
        <w:t>)</w:t>
      </w:r>
    </w:p>
    <w:p w14:paraId="445059ED">
      <w:pPr>
        <w:widowControl/>
        <w:spacing w:line="420" w:lineRule="exact"/>
        <w:ind w:firstLine="480" w:firstLineChars="200"/>
        <w:jc w:val="left"/>
        <w:rPr>
          <w:rFonts w:ascii="宋体" w:hAnsi="宋体" w:cs="宋体"/>
          <w:color w:val="auto"/>
          <w:kern w:val="0"/>
          <w:sz w:val="24"/>
        </w:rPr>
      </w:pPr>
      <w:r>
        <w:rPr>
          <w:rFonts w:ascii="宋体" w:hAnsi="宋体"/>
          <w:color w:val="auto"/>
          <w:kern w:val="0"/>
          <w:sz w:val="24"/>
        </w:rPr>
        <w:t>1</w:t>
      </w:r>
      <w:r>
        <w:rPr>
          <w:rFonts w:ascii="宋体" w:hAnsi="宋体" w:cs="宋体"/>
          <w:color w:val="auto"/>
          <w:kern w:val="0"/>
          <w:sz w:val="24"/>
        </w:rPr>
        <w:t>、我们愿遵守招标文件中的各项规定，提供</w:t>
      </w:r>
      <w:r>
        <w:rPr>
          <w:rFonts w:hint="eastAsia" w:ascii="宋体" w:hAnsi="宋体" w:cs="宋体"/>
          <w:color w:val="auto"/>
          <w:kern w:val="0"/>
          <w:sz w:val="24"/>
        </w:rPr>
        <w:t>符合招标人要求的产品</w:t>
      </w:r>
      <w:r>
        <w:rPr>
          <w:rFonts w:ascii="宋体" w:hAnsi="宋体" w:cs="宋体"/>
          <w:color w:val="auto"/>
          <w:kern w:val="0"/>
          <w:sz w:val="24"/>
        </w:rPr>
        <w:t>。</w:t>
      </w:r>
    </w:p>
    <w:p w14:paraId="55200D90">
      <w:pPr>
        <w:widowControl/>
        <w:spacing w:line="420" w:lineRule="exact"/>
        <w:ind w:firstLine="480" w:firstLineChars="200"/>
        <w:jc w:val="left"/>
        <w:rPr>
          <w:rFonts w:ascii="宋体" w:hAnsi="宋体" w:cs="宋体"/>
          <w:color w:val="auto"/>
          <w:kern w:val="0"/>
          <w:sz w:val="24"/>
        </w:rPr>
      </w:pPr>
      <w:r>
        <w:rPr>
          <w:rFonts w:ascii="宋体" w:hAnsi="宋体"/>
          <w:color w:val="auto"/>
          <w:kern w:val="0"/>
          <w:sz w:val="24"/>
        </w:rPr>
        <w:t>2</w:t>
      </w:r>
      <w:r>
        <w:rPr>
          <w:rFonts w:ascii="宋体" w:hAnsi="宋体" w:cs="宋体"/>
          <w:color w:val="auto"/>
          <w:kern w:val="0"/>
          <w:sz w:val="24"/>
        </w:rPr>
        <w:t>、同意本投标自投标截止日起</w:t>
      </w:r>
      <w:r>
        <w:rPr>
          <w:rFonts w:hint="eastAsia" w:ascii="宋体" w:hAnsi="宋体"/>
          <w:color w:val="auto"/>
          <w:kern w:val="0"/>
          <w:sz w:val="24"/>
        </w:rPr>
        <w:t>90</w:t>
      </w:r>
      <w:r>
        <w:rPr>
          <w:rFonts w:ascii="宋体" w:hAnsi="宋体" w:cs="宋体"/>
          <w:color w:val="auto"/>
          <w:kern w:val="0"/>
          <w:sz w:val="24"/>
        </w:rPr>
        <w:t>天内有效，如果我们的投标被接受，直至合同生效日，本投标始终有效。</w:t>
      </w:r>
    </w:p>
    <w:p w14:paraId="5EE23A07">
      <w:pPr>
        <w:widowControl/>
        <w:spacing w:line="420" w:lineRule="exact"/>
        <w:ind w:firstLine="480" w:firstLineChars="200"/>
        <w:jc w:val="left"/>
        <w:rPr>
          <w:rFonts w:ascii="宋体" w:hAnsi="宋体" w:cs="宋体"/>
          <w:color w:val="auto"/>
          <w:kern w:val="0"/>
          <w:sz w:val="24"/>
        </w:rPr>
      </w:pPr>
      <w:r>
        <w:rPr>
          <w:rFonts w:ascii="宋体" w:hAnsi="宋体"/>
          <w:color w:val="auto"/>
          <w:kern w:val="0"/>
          <w:sz w:val="24"/>
        </w:rPr>
        <w:t>3</w:t>
      </w:r>
      <w:r>
        <w:rPr>
          <w:rFonts w:ascii="宋体" w:hAnsi="宋体" w:cs="宋体"/>
          <w:color w:val="auto"/>
          <w:kern w:val="0"/>
          <w:sz w:val="24"/>
        </w:rPr>
        <w:t>、我们</w:t>
      </w:r>
      <w:r>
        <w:rPr>
          <w:rFonts w:hint="eastAsia" w:ascii="宋体" w:hAnsi="宋体" w:cs="宋体"/>
          <w:color w:val="auto"/>
          <w:kern w:val="0"/>
          <w:sz w:val="24"/>
        </w:rPr>
        <w:t>已</w:t>
      </w:r>
      <w:r>
        <w:rPr>
          <w:rFonts w:ascii="宋体" w:hAnsi="宋体" w:cs="宋体"/>
          <w:color w:val="auto"/>
          <w:kern w:val="0"/>
          <w:sz w:val="24"/>
        </w:rPr>
        <w:t>详细阅读了全部招标文件及附件。</w:t>
      </w:r>
    </w:p>
    <w:p w14:paraId="4C79F0EC">
      <w:pPr>
        <w:widowControl/>
        <w:spacing w:line="420" w:lineRule="exact"/>
        <w:ind w:firstLine="480" w:firstLineChars="200"/>
        <w:jc w:val="left"/>
        <w:rPr>
          <w:rFonts w:ascii="宋体" w:hAnsi="宋体" w:cs="宋体"/>
          <w:color w:val="auto"/>
          <w:kern w:val="0"/>
          <w:sz w:val="24"/>
        </w:rPr>
      </w:pPr>
      <w:r>
        <w:rPr>
          <w:rFonts w:ascii="宋体" w:hAnsi="宋体"/>
          <w:color w:val="auto"/>
          <w:kern w:val="0"/>
          <w:sz w:val="24"/>
        </w:rPr>
        <w:t>4</w:t>
      </w:r>
      <w:r>
        <w:rPr>
          <w:rFonts w:ascii="宋体" w:hAnsi="宋体" w:cs="宋体"/>
          <w:color w:val="auto"/>
          <w:kern w:val="0"/>
          <w:sz w:val="24"/>
        </w:rPr>
        <w:t>、我们同意提供招标人要求的有关投标的其他资料。</w:t>
      </w:r>
    </w:p>
    <w:p w14:paraId="35C5801A">
      <w:pPr>
        <w:widowControl/>
        <w:spacing w:line="420" w:lineRule="exact"/>
        <w:ind w:firstLine="480" w:firstLineChars="200"/>
        <w:jc w:val="left"/>
        <w:rPr>
          <w:rFonts w:ascii="宋体" w:hAnsi="宋体" w:cs="宋体"/>
          <w:color w:val="auto"/>
          <w:kern w:val="0"/>
          <w:sz w:val="24"/>
        </w:rPr>
      </w:pPr>
    </w:p>
    <w:p w14:paraId="28B58920">
      <w:pPr>
        <w:widowControl/>
        <w:spacing w:line="420" w:lineRule="exact"/>
        <w:ind w:firstLine="480" w:firstLineChars="200"/>
        <w:jc w:val="left"/>
        <w:rPr>
          <w:rFonts w:ascii="宋体" w:hAnsi="宋体" w:cs="宋体"/>
          <w:color w:val="auto"/>
          <w:kern w:val="0"/>
          <w:sz w:val="24"/>
        </w:rPr>
      </w:pPr>
    </w:p>
    <w:p w14:paraId="444F6702">
      <w:pPr>
        <w:widowControl/>
        <w:spacing w:line="440" w:lineRule="exact"/>
        <w:ind w:firstLine="480" w:firstLineChars="200"/>
        <w:jc w:val="left"/>
        <w:rPr>
          <w:rFonts w:ascii="宋体" w:hAnsi="宋体"/>
          <w:color w:val="auto"/>
          <w:kern w:val="0"/>
          <w:sz w:val="24"/>
        </w:rPr>
      </w:pPr>
      <w:r>
        <w:rPr>
          <w:rFonts w:ascii="宋体" w:hAnsi="宋体" w:cs="宋体"/>
          <w:color w:val="auto"/>
          <w:kern w:val="0"/>
          <w:sz w:val="24"/>
        </w:rPr>
        <w:t>法人代表</w:t>
      </w:r>
      <w:r>
        <w:rPr>
          <w:rFonts w:hint="eastAsia" w:ascii="宋体" w:hAnsi="宋体" w:cs="宋体"/>
          <w:color w:val="auto"/>
          <w:kern w:val="0"/>
          <w:sz w:val="24"/>
        </w:rPr>
        <w:t>或</w:t>
      </w:r>
      <w:r>
        <w:rPr>
          <w:rFonts w:ascii="宋体" w:hAnsi="宋体" w:cs="宋体"/>
          <w:color w:val="auto"/>
          <w:kern w:val="0"/>
          <w:sz w:val="24"/>
        </w:rPr>
        <w:t>授权代表（签字）：</w:t>
      </w:r>
    </w:p>
    <w:p w14:paraId="5D9B2400">
      <w:pPr>
        <w:widowControl/>
        <w:spacing w:line="375" w:lineRule="atLeast"/>
        <w:ind w:firstLine="480" w:firstLineChars="200"/>
        <w:jc w:val="left"/>
        <w:rPr>
          <w:rFonts w:hint="eastAsia" w:ascii="宋体" w:hAnsi="宋体" w:cs="宋体"/>
          <w:bCs/>
          <w:color w:val="auto"/>
          <w:kern w:val="0"/>
          <w:sz w:val="24"/>
        </w:rPr>
      </w:pPr>
      <w:r>
        <w:rPr>
          <w:rFonts w:ascii="宋体" w:hAnsi="宋体" w:cs="宋体"/>
          <w:color w:val="auto"/>
          <w:kern w:val="0"/>
          <w:sz w:val="24"/>
        </w:rPr>
        <w:t>投标单位名称（公章）：</w:t>
      </w:r>
    </w:p>
    <w:p w14:paraId="72B3B381">
      <w:pPr>
        <w:pStyle w:val="7"/>
        <w:rPr>
          <w:color w:val="auto"/>
        </w:rPr>
      </w:pPr>
    </w:p>
    <w:p w14:paraId="2CDF5010">
      <w:pPr>
        <w:widowControl/>
        <w:spacing w:line="375" w:lineRule="atLeast"/>
        <w:jc w:val="left"/>
        <w:rPr>
          <w:rFonts w:hint="eastAsia" w:ascii="黑体" w:hAnsi="黑体" w:eastAsia="黑体" w:cs="黑体"/>
          <w:b/>
          <w:color w:val="auto"/>
          <w:kern w:val="0"/>
          <w:sz w:val="24"/>
        </w:rPr>
      </w:pPr>
    </w:p>
    <w:p w14:paraId="4A4DC14A">
      <w:pPr>
        <w:widowControl/>
        <w:spacing w:line="375" w:lineRule="atLeast"/>
        <w:jc w:val="left"/>
        <w:rPr>
          <w:rFonts w:hint="eastAsia" w:ascii="黑体" w:hAnsi="黑体" w:eastAsia="黑体" w:cs="黑体"/>
          <w:b/>
          <w:color w:val="auto"/>
          <w:kern w:val="0"/>
          <w:sz w:val="24"/>
        </w:rPr>
      </w:pPr>
    </w:p>
    <w:p w14:paraId="7AD708C6">
      <w:pPr>
        <w:widowControl/>
        <w:spacing w:line="375" w:lineRule="atLeast"/>
        <w:jc w:val="left"/>
        <w:rPr>
          <w:rFonts w:hint="eastAsia" w:ascii="黑体" w:hAnsi="黑体" w:eastAsia="黑体" w:cs="黑体"/>
          <w:b/>
          <w:color w:val="auto"/>
          <w:kern w:val="0"/>
          <w:sz w:val="24"/>
        </w:rPr>
      </w:pPr>
    </w:p>
    <w:p w14:paraId="14D49209">
      <w:pPr>
        <w:widowControl/>
        <w:spacing w:line="375" w:lineRule="atLeast"/>
        <w:jc w:val="left"/>
        <w:rPr>
          <w:rFonts w:hint="eastAsia" w:ascii="黑体" w:hAnsi="黑体" w:eastAsia="黑体" w:cs="黑体"/>
          <w:b/>
          <w:color w:val="auto"/>
          <w:kern w:val="0"/>
          <w:sz w:val="24"/>
        </w:rPr>
      </w:pPr>
    </w:p>
    <w:p w14:paraId="7316C6C6">
      <w:pPr>
        <w:widowControl/>
        <w:spacing w:line="375" w:lineRule="atLeast"/>
        <w:jc w:val="left"/>
        <w:rPr>
          <w:rFonts w:hint="eastAsia" w:ascii="黑体" w:hAnsi="黑体" w:eastAsia="黑体" w:cs="黑体"/>
          <w:b/>
          <w:color w:val="auto"/>
          <w:kern w:val="0"/>
          <w:sz w:val="24"/>
        </w:rPr>
      </w:pPr>
    </w:p>
    <w:p w14:paraId="10C963B1">
      <w:pPr>
        <w:widowControl/>
        <w:spacing w:line="375" w:lineRule="atLeast"/>
        <w:jc w:val="left"/>
        <w:rPr>
          <w:rFonts w:hint="eastAsia" w:ascii="黑体" w:hAnsi="黑体" w:eastAsia="黑体" w:cs="黑体"/>
          <w:b/>
          <w:color w:val="auto"/>
          <w:kern w:val="0"/>
          <w:sz w:val="24"/>
        </w:rPr>
      </w:pPr>
    </w:p>
    <w:p w14:paraId="05F38869">
      <w:pPr>
        <w:widowControl/>
        <w:spacing w:before="124" w:beforeLines="40" w:after="124" w:afterLines="40" w:line="375" w:lineRule="atLeast"/>
        <w:jc w:val="left"/>
        <w:rPr>
          <w:rFonts w:ascii="微软雅黑" w:hAnsi="微软雅黑" w:eastAsia="微软雅黑" w:cs="微软雅黑"/>
          <w:b/>
          <w:color w:val="auto"/>
          <w:kern w:val="0"/>
          <w:sz w:val="24"/>
        </w:rPr>
      </w:pPr>
      <w:r>
        <w:rPr>
          <w:rFonts w:hint="eastAsia" w:ascii="黑体" w:hAnsi="黑体" w:eastAsia="黑体" w:cs="黑体"/>
          <w:b/>
          <w:color w:val="auto"/>
          <w:kern w:val="0"/>
          <w:sz w:val="24"/>
        </w:rPr>
        <w:t>附件2</w:t>
      </w:r>
    </w:p>
    <w:p w14:paraId="0932E041">
      <w:pPr>
        <w:widowControl/>
        <w:spacing w:line="440"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法定代表人身份证明</w:t>
      </w:r>
    </w:p>
    <w:p w14:paraId="77C72942">
      <w:pPr>
        <w:snapToGrid w:val="0"/>
        <w:spacing w:line="480" w:lineRule="auto"/>
        <w:rPr>
          <w:rFonts w:hint="eastAsia" w:ascii="宋体" w:hAnsi="宋体" w:cs="宋体"/>
          <w:color w:val="auto"/>
          <w:szCs w:val="21"/>
        </w:rPr>
      </w:pPr>
    </w:p>
    <w:p w14:paraId="2D5059A0">
      <w:pPr>
        <w:autoSpaceDE w:val="0"/>
        <w:autoSpaceDN w:val="0"/>
        <w:adjustRightInd w:val="0"/>
        <w:snapToGrid w:val="0"/>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投标单位</w:t>
      </w:r>
      <w:r>
        <w:rPr>
          <w:rFonts w:hint="eastAsia" w:ascii="宋体" w:hAnsi="宋体" w:cs="宋体"/>
          <w:color w:val="auto"/>
          <w:kern w:val="0"/>
          <w:sz w:val="24"/>
          <w:szCs w:val="24"/>
        </w:rPr>
        <w:t>名称：</w:t>
      </w:r>
    </w:p>
    <w:p w14:paraId="2986589F">
      <w:pPr>
        <w:autoSpaceDE w:val="0"/>
        <w:autoSpaceDN w:val="0"/>
        <w:adjustRightInd w:val="0"/>
        <w:snapToGrid w:val="0"/>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注册号：</w:t>
      </w:r>
    </w:p>
    <w:p w14:paraId="3CEC9856">
      <w:pPr>
        <w:autoSpaceDE w:val="0"/>
        <w:autoSpaceDN w:val="0"/>
        <w:adjustRightInd w:val="0"/>
        <w:snapToGrid w:val="0"/>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注册地址：</w:t>
      </w:r>
    </w:p>
    <w:p w14:paraId="175538EB">
      <w:pPr>
        <w:autoSpaceDE w:val="0"/>
        <w:autoSpaceDN w:val="0"/>
        <w:adjustRightInd w:val="0"/>
        <w:snapToGrid w:val="0"/>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成立时间：  年  月   日</w:t>
      </w:r>
    </w:p>
    <w:p w14:paraId="06817E34">
      <w:pPr>
        <w:autoSpaceDE w:val="0"/>
        <w:autoSpaceDN w:val="0"/>
        <w:adjustRightInd w:val="0"/>
        <w:snapToGrid w:val="0"/>
        <w:spacing w:line="360" w:lineRule="auto"/>
        <w:jc w:val="left"/>
        <w:rPr>
          <w:rFonts w:hint="eastAsia" w:ascii="宋体" w:hAnsi="宋体" w:cs="宋体"/>
          <w:color w:val="auto"/>
          <w:kern w:val="0"/>
          <w:sz w:val="24"/>
          <w:szCs w:val="24"/>
          <w:u w:val="single"/>
        </w:rPr>
      </w:pPr>
      <w:r>
        <w:rPr>
          <w:rFonts w:hint="eastAsia" w:ascii="宋体" w:hAnsi="宋体" w:cs="宋体"/>
          <w:color w:val="auto"/>
          <w:kern w:val="0"/>
          <w:sz w:val="24"/>
          <w:szCs w:val="24"/>
        </w:rPr>
        <w:t>经营期限：</w:t>
      </w:r>
    </w:p>
    <w:p w14:paraId="1A760C4E">
      <w:pPr>
        <w:autoSpaceDE w:val="0"/>
        <w:autoSpaceDN w:val="0"/>
        <w:adjustRightInd w:val="0"/>
        <w:snapToGrid w:val="0"/>
        <w:spacing w:line="360" w:lineRule="auto"/>
        <w:jc w:val="left"/>
        <w:rPr>
          <w:rFonts w:hint="eastAsia" w:ascii="宋体" w:hAnsi="宋体" w:cs="宋体"/>
          <w:color w:val="auto"/>
          <w:kern w:val="0"/>
          <w:sz w:val="24"/>
          <w:szCs w:val="24"/>
          <w:u w:val="single"/>
        </w:rPr>
      </w:pPr>
      <w:r>
        <w:rPr>
          <w:rFonts w:hint="eastAsia" w:ascii="宋体" w:hAnsi="宋体" w:cs="宋体"/>
          <w:color w:val="auto"/>
          <w:kern w:val="0"/>
          <w:sz w:val="24"/>
          <w:szCs w:val="24"/>
        </w:rPr>
        <w:t>经营范围：主营：；兼营：</w:t>
      </w:r>
    </w:p>
    <w:p w14:paraId="7A8987E0">
      <w:pPr>
        <w:autoSpaceDE w:val="0"/>
        <w:autoSpaceDN w:val="0"/>
        <w:adjustRightInd w:val="0"/>
        <w:snapToGrid w:val="0"/>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姓名：性别：年龄：系（</w:t>
      </w:r>
      <w:r>
        <w:rPr>
          <w:rFonts w:hint="eastAsia" w:ascii="宋体" w:hAnsi="宋体" w:cs="宋体"/>
          <w:color w:val="auto"/>
          <w:sz w:val="24"/>
          <w:szCs w:val="24"/>
        </w:rPr>
        <w:t>投标单位</w:t>
      </w:r>
      <w:r>
        <w:rPr>
          <w:rFonts w:hint="eastAsia" w:ascii="宋体" w:hAnsi="宋体" w:cs="宋体"/>
          <w:color w:val="auto"/>
          <w:kern w:val="0"/>
          <w:sz w:val="24"/>
          <w:szCs w:val="24"/>
        </w:rPr>
        <w:t>名称）的法定代表人。</w:t>
      </w:r>
    </w:p>
    <w:p w14:paraId="57362B8C">
      <w:pPr>
        <w:autoSpaceDE w:val="0"/>
        <w:autoSpaceDN w:val="0"/>
        <w:adjustRightInd w:val="0"/>
        <w:snapToGrid w:val="0"/>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特此证明。</w:t>
      </w:r>
    </w:p>
    <w:p w14:paraId="59B3923B">
      <w:pPr>
        <w:autoSpaceDE w:val="0"/>
        <w:autoSpaceDN w:val="0"/>
        <w:adjustRightInd w:val="0"/>
        <w:snapToGrid w:val="0"/>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附：法定代表人身份证复印件</w:t>
      </w:r>
    </w:p>
    <w:tbl>
      <w:tblPr>
        <w:tblStyle w:val="19"/>
        <w:tblW w:w="936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4680"/>
      </w:tblGrid>
      <w:tr w14:paraId="5B77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4680" w:type="dxa"/>
            <w:noWrap w:val="0"/>
            <w:vAlign w:val="top"/>
          </w:tcPr>
          <w:p w14:paraId="0A4FBA4D">
            <w:pPr>
              <w:adjustRightInd w:val="0"/>
              <w:snapToGrid w:val="0"/>
              <w:spacing w:line="360" w:lineRule="auto"/>
              <w:ind w:right="420"/>
              <w:rPr>
                <w:rFonts w:hint="eastAsia" w:ascii="宋体" w:hAnsi="宋体" w:cs="宋体"/>
                <w:color w:val="auto"/>
                <w:szCs w:val="21"/>
              </w:rPr>
            </w:pPr>
          </w:p>
        </w:tc>
        <w:tc>
          <w:tcPr>
            <w:tcW w:w="4680" w:type="dxa"/>
            <w:noWrap w:val="0"/>
            <w:vAlign w:val="top"/>
          </w:tcPr>
          <w:p w14:paraId="378DC812">
            <w:pPr>
              <w:adjustRightInd w:val="0"/>
              <w:snapToGrid w:val="0"/>
              <w:spacing w:line="360" w:lineRule="auto"/>
              <w:ind w:right="420"/>
              <w:rPr>
                <w:rFonts w:hint="eastAsia" w:ascii="宋体" w:hAnsi="宋体" w:cs="宋体"/>
                <w:color w:val="auto"/>
                <w:szCs w:val="21"/>
              </w:rPr>
            </w:pPr>
          </w:p>
        </w:tc>
      </w:tr>
    </w:tbl>
    <w:p w14:paraId="47485043">
      <w:pPr>
        <w:adjustRightInd w:val="0"/>
        <w:snapToGrid w:val="0"/>
        <w:spacing w:line="360" w:lineRule="auto"/>
        <w:rPr>
          <w:rFonts w:hint="eastAsia" w:ascii="宋体" w:hAnsi="宋体" w:cs="宋体"/>
          <w:color w:val="auto"/>
          <w:szCs w:val="21"/>
        </w:rPr>
      </w:pPr>
    </w:p>
    <w:p w14:paraId="3C3026C2">
      <w:pPr>
        <w:adjustRightInd w:val="0"/>
        <w:snapToGrid w:val="0"/>
        <w:spacing w:line="360" w:lineRule="auto"/>
        <w:ind w:right="420"/>
        <w:rPr>
          <w:rFonts w:hint="eastAsia" w:ascii="宋体" w:hAnsi="宋体" w:cs="宋体"/>
          <w:color w:val="auto"/>
          <w:sz w:val="24"/>
          <w:szCs w:val="24"/>
        </w:rPr>
      </w:pPr>
      <w:r>
        <w:rPr>
          <w:rFonts w:hint="eastAsia" w:ascii="宋体" w:hAnsi="宋体" w:cs="宋体"/>
          <w:color w:val="auto"/>
          <w:sz w:val="24"/>
          <w:szCs w:val="24"/>
        </w:rPr>
        <w:t>投标单位名称（盖单位章）：</w:t>
      </w:r>
    </w:p>
    <w:p w14:paraId="5A1A4AC3">
      <w:pPr>
        <w:adjustRightInd w:val="0"/>
        <w:snapToGrid w:val="0"/>
        <w:spacing w:line="360" w:lineRule="auto"/>
        <w:ind w:right="420"/>
        <w:rPr>
          <w:rFonts w:hint="eastAsia" w:ascii="宋体" w:hAnsi="宋体" w:cs="宋体"/>
          <w:color w:val="auto"/>
          <w:sz w:val="24"/>
          <w:szCs w:val="24"/>
        </w:rPr>
      </w:pPr>
      <w:r>
        <w:rPr>
          <w:rFonts w:hint="eastAsia" w:ascii="宋体" w:hAnsi="宋体" w:cs="宋体"/>
          <w:color w:val="auto"/>
          <w:sz w:val="24"/>
          <w:szCs w:val="24"/>
        </w:rPr>
        <w:t>日期：  年   月   日</w:t>
      </w:r>
    </w:p>
    <w:p w14:paraId="2436113E">
      <w:pPr>
        <w:widowControl/>
        <w:topLinePunct/>
        <w:spacing w:line="440" w:lineRule="atLeast"/>
        <w:jc w:val="left"/>
        <w:rPr>
          <w:rFonts w:hint="eastAsia" w:ascii="宋体" w:hAnsi="宋体" w:cs="宋体"/>
          <w:b/>
          <w:color w:val="auto"/>
          <w:kern w:val="0"/>
          <w:sz w:val="24"/>
          <w:szCs w:val="24"/>
        </w:rPr>
      </w:pPr>
      <w:r>
        <w:rPr>
          <w:rFonts w:hint="eastAsia" w:ascii="宋体" w:hAnsi="宋体" w:cs="宋体"/>
          <w:b/>
          <w:color w:val="auto"/>
          <w:kern w:val="0"/>
          <w:sz w:val="24"/>
          <w:szCs w:val="24"/>
        </w:rPr>
        <w:t>注：请另准备本授权委托书原件一份，开标会时单独提交。</w:t>
      </w:r>
    </w:p>
    <w:p w14:paraId="28E191E1">
      <w:pPr>
        <w:widowControl/>
        <w:spacing w:line="375" w:lineRule="atLeast"/>
        <w:ind w:firstLine="102" w:firstLineChars="49"/>
        <w:jc w:val="left"/>
        <w:rPr>
          <w:color w:val="auto"/>
        </w:rPr>
      </w:pPr>
    </w:p>
    <w:p w14:paraId="61785154">
      <w:pPr>
        <w:widowControl/>
        <w:spacing w:line="375" w:lineRule="atLeast"/>
        <w:ind w:firstLine="137" w:firstLineChars="49"/>
        <w:jc w:val="left"/>
        <w:rPr>
          <w:rFonts w:ascii="黑体" w:hAnsi="黑体" w:eastAsia="黑体" w:cs="黑体"/>
          <w:bCs/>
          <w:color w:val="auto"/>
          <w:kern w:val="0"/>
          <w:sz w:val="28"/>
          <w:szCs w:val="28"/>
        </w:rPr>
      </w:pPr>
    </w:p>
    <w:p w14:paraId="652103D7">
      <w:pPr>
        <w:widowControl/>
        <w:spacing w:before="124" w:beforeLines="40" w:after="124" w:afterLines="40" w:line="375" w:lineRule="atLeast"/>
        <w:jc w:val="left"/>
        <w:rPr>
          <w:rFonts w:hint="eastAsia" w:ascii="黑体" w:hAnsi="黑体" w:eastAsia="黑体" w:cs="黑体"/>
          <w:b/>
          <w:color w:val="auto"/>
          <w:kern w:val="0"/>
          <w:sz w:val="24"/>
        </w:rPr>
      </w:pPr>
    </w:p>
    <w:p w14:paraId="0E9B6965">
      <w:pPr>
        <w:widowControl/>
        <w:spacing w:before="124" w:beforeLines="40" w:after="124" w:afterLines="40" w:line="375" w:lineRule="atLeast"/>
        <w:jc w:val="left"/>
        <w:rPr>
          <w:rFonts w:hint="eastAsia" w:ascii="黑体" w:hAnsi="黑体" w:eastAsia="黑体" w:cs="黑体"/>
          <w:b/>
          <w:color w:val="auto"/>
          <w:kern w:val="0"/>
          <w:sz w:val="24"/>
        </w:rPr>
      </w:pPr>
    </w:p>
    <w:p w14:paraId="6EFEACDE">
      <w:pPr>
        <w:widowControl/>
        <w:spacing w:before="124" w:beforeLines="40" w:after="124" w:afterLines="40" w:line="375" w:lineRule="atLeast"/>
        <w:jc w:val="left"/>
        <w:rPr>
          <w:rFonts w:hint="eastAsia" w:ascii="黑体" w:hAnsi="黑体" w:eastAsia="黑体" w:cs="黑体"/>
          <w:b/>
          <w:color w:val="auto"/>
          <w:kern w:val="0"/>
          <w:sz w:val="24"/>
        </w:rPr>
      </w:pPr>
    </w:p>
    <w:p w14:paraId="56E141A6">
      <w:pPr>
        <w:widowControl/>
        <w:spacing w:line="375" w:lineRule="atLeast"/>
        <w:jc w:val="left"/>
        <w:rPr>
          <w:rFonts w:hint="eastAsia" w:ascii="黑体" w:hAnsi="黑体" w:eastAsia="黑体" w:cs="黑体"/>
          <w:b/>
          <w:color w:val="auto"/>
          <w:kern w:val="0"/>
          <w:sz w:val="24"/>
        </w:rPr>
      </w:pPr>
    </w:p>
    <w:p w14:paraId="5296D5AB">
      <w:pPr>
        <w:widowControl/>
        <w:spacing w:before="124" w:beforeLines="40" w:after="124" w:afterLines="40" w:line="375" w:lineRule="atLeast"/>
        <w:jc w:val="left"/>
        <w:rPr>
          <w:rFonts w:hint="eastAsia" w:ascii="黑体" w:hAnsi="黑体" w:eastAsia="黑体" w:cs="黑体"/>
          <w:b/>
          <w:color w:val="auto"/>
          <w:kern w:val="0"/>
          <w:sz w:val="24"/>
          <w:lang w:val="en-US" w:eastAsia="zh-CN"/>
        </w:rPr>
      </w:pPr>
      <w:r>
        <w:rPr>
          <w:rFonts w:hint="eastAsia" w:ascii="黑体" w:hAnsi="黑体" w:eastAsia="黑体" w:cs="黑体"/>
          <w:b/>
          <w:color w:val="auto"/>
          <w:kern w:val="0"/>
          <w:sz w:val="24"/>
        </w:rPr>
        <w:t>附件</w:t>
      </w:r>
      <w:r>
        <w:rPr>
          <w:rFonts w:hint="eastAsia" w:ascii="黑体" w:hAnsi="黑体" w:eastAsia="黑体" w:cs="黑体"/>
          <w:b/>
          <w:color w:val="auto"/>
          <w:kern w:val="0"/>
          <w:sz w:val="24"/>
          <w:lang w:val="en-US" w:eastAsia="zh-CN"/>
        </w:rPr>
        <w:t>3</w:t>
      </w:r>
    </w:p>
    <w:p w14:paraId="7BD8886A">
      <w:pPr>
        <w:widowControl/>
        <w:spacing w:line="440"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法定代表人授权委托书</w:t>
      </w:r>
    </w:p>
    <w:p w14:paraId="786426C3">
      <w:pPr>
        <w:adjustRightInd w:val="0"/>
        <w:snapToGrid w:val="0"/>
        <w:spacing w:line="360" w:lineRule="auto"/>
        <w:jc w:val="center"/>
        <w:rPr>
          <w:rFonts w:hint="eastAsia" w:ascii="宋体" w:hAnsi="宋体" w:cs="宋体"/>
          <w:b/>
          <w:color w:val="auto"/>
          <w:sz w:val="28"/>
          <w:szCs w:val="28"/>
        </w:rPr>
      </w:pPr>
    </w:p>
    <w:p w14:paraId="33F3FABB">
      <w:pPr>
        <w:autoSpaceDE w:val="0"/>
        <w:autoSpaceDN w:val="0"/>
        <w:adjustRightInd w:val="0"/>
        <w:snapToGrid w:val="0"/>
        <w:spacing w:before="156" w:beforeLines="50"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本人</w:t>
      </w:r>
      <w:r>
        <w:rPr>
          <w:rFonts w:hint="eastAsia" w:ascii="宋体" w:hAnsi="宋体" w:cs="宋体"/>
          <w:color w:val="auto"/>
          <w:kern w:val="0"/>
          <w:sz w:val="24"/>
          <w:szCs w:val="24"/>
          <w:u w:val="single"/>
        </w:rPr>
        <w:t>（姓名、职务）</w:t>
      </w:r>
      <w:r>
        <w:rPr>
          <w:rFonts w:hint="eastAsia" w:ascii="宋体" w:hAnsi="宋体" w:cs="宋体"/>
          <w:color w:val="auto"/>
          <w:kern w:val="0"/>
          <w:sz w:val="24"/>
          <w:szCs w:val="24"/>
        </w:rPr>
        <w:t>系</w:t>
      </w:r>
      <w:r>
        <w:rPr>
          <w:rFonts w:hint="eastAsia" w:ascii="宋体" w:hAnsi="宋体" w:cs="宋体"/>
          <w:color w:val="auto"/>
          <w:kern w:val="0"/>
          <w:sz w:val="24"/>
          <w:szCs w:val="24"/>
          <w:u w:val="single"/>
        </w:rPr>
        <w:t>（投标单位名称）</w:t>
      </w:r>
      <w:r>
        <w:rPr>
          <w:rFonts w:hint="eastAsia" w:ascii="宋体" w:hAnsi="宋体" w:cs="宋体"/>
          <w:color w:val="auto"/>
          <w:kern w:val="0"/>
          <w:sz w:val="24"/>
          <w:szCs w:val="24"/>
        </w:rPr>
        <w:t>的法定代表人，现授权</w:t>
      </w:r>
      <w:r>
        <w:rPr>
          <w:rFonts w:hint="eastAsia" w:ascii="宋体" w:hAnsi="宋体" w:cs="宋体"/>
          <w:color w:val="auto"/>
          <w:kern w:val="0"/>
          <w:sz w:val="24"/>
          <w:szCs w:val="24"/>
          <w:u w:val="single"/>
        </w:rPr>
        <w:t>（姓名、职务）</w:t>
      </w:r>
      <w:r>
        <w:rPr>
          <w:rFonts w:hint="eastAsia" w:ascii="宋体" w:hAnsi="宋体" w:cs="宋体"/>
          <w:color w:val="auto"/>
          <w:kern w:val="0"/>
          <w:sz w:val="24"/>
          <w:szCs w:val="24"/>
        </w:rPr>
        <w:t>为我方代理人。代理人根据授权，以我方名义：(1)签署、澄清、补正、修改、撤回、提交</w:t>
      </w:r>
      <w:r>
        <w:rPr>
          <w:rFonts w:hint="eastAsia" w:ascii="宋体" w:hAnsi="宋体" w:cs="宋体"/>
          <w:color w:val="auto"/>
          <w:kern w:val="0"/>
          <w:sz w:val="24"/>
          <w:szCs w:val="24"/>
          <w:u w:val="single"/>
        </w:rPr>
        <w:t>（项目名称）</w:t>
      </w:r>
      <w:r>
        <w:rPr>
          <w:rFonts w:hint="eastAsia" w:ascii="宋体" w:hAnsi="宋体" w:cs="宋体"/>
          <w:color w:val="auto"/>
          <w:kern w:val="0"/>
          <w:sz w:val="24"/>
          <w:szCs w:val="24"/>
        </w:rPr>
        <w:t>响应文件；(2)签署并重新提交响应文件及最后报价；(3)签订合同和处理有关事宜，其法律后果由我方承担；（4）询问、质疑、投诉等相关事项，其法律后果由我方承担。</w:t>
      </w:r>
    </w:p>
    <w:p w14:paraId="7722A3D2">
      <w:pPr>
        <w:autoSpaceDE w:val="0"/>
        <w:autoSpaceDN w:val="0"/>
        <w:adjustRightInd w:val="0"/>
        <w:snapToGrid w:val="0"/>
        <w:spacing w:before="156" w:beforeLines="50" w:line="360" w:lineRule="auto"/>
        <w:ind w:firstLine="480" w:firstLineChars="200"/>
        <w:jc w:val="left"/>
        <w:rPr>
          <w:rFonts w:hint="eastAsia" w:ascii="宋体" w:hAnsi="宋体" w:cs="宋体"/>
          <w:color w:val="auto"/>
          <w:kern w:val="0"/>
          <w:sz w:val="24"/>
          <w:szCs w:val="24"/>
        </w:rPr>
      </w:pPr>
    </w:p>
    <w:p w14:paraId="5C880153">
      <w:pPr>
        <w:autoSpaceDE w:val="0"/>
        <w:autoSpaceDN w:val="0"/>
        <w:adjustRightInd w:val="0"/>
        <w:snapToGrid w:val="0"/>
        <w:spacing w:before="156" w:beforeLines="50" w:line="360" w:lineRule="auto"/>
        <w:ind w:firstLine="480" w:firstLineChars="200"/>
        <w:jc w:val="left"/>
        <w:rPr>
          <w:rFonts w:hint="eastAsia" w:ascii="宋体" w:hAnsi="宋体" w:cs="宋体"/>
          <w:color w:val="auto"/>
          <w:kern w:val="0"/>
          <w:sz w:val="24"/>
          <w:szCs w:val="24"/>
        </w:rPr>
      </w:pPr>
      <w:bookmarkStart w:id="9" w:name="OLE_LINK6"/>
      <w:r>
        <w:rPr>
          <w:rFonts w:hint="eastAsia" w:ascii="宋体" w:hAnsi="宋体" w:cs="宋体"/>
          <w:color w:val="auto"/>
          <w:kern w:val="0"/>
          <w:sz w:val="24"/>
          <w:szCs w:val="24"/>
        </w:rPr>
        <w:t>委托期限</w:t>
      </w:r>
      <w:bookmarkEnd w:id="9"/>
      <w:r>
        <w:rPr>
          <w:rFonts w:hint="eastAsia" w:ascii="宋体" w:hAnsi="宋体" w:cs="宋体"/>
          <w:color w:val="auto"/>
          <w:kern w:val="0"/>
          <w:sz w:val="24"/>
          <w:szCs w:val="24"/>
        </w:rPr>
        <w:t>：</w:t>
      </w:r>
      <w:r>
        <w:rPr>
          <w:rFonts w:hint="eastAsia" w:ascii="宋体" w:hAnsi="宋体" w:cs="宋体"/>
          <w:color w:val="auto"/>
          <w:kern w:val="0"/>
          <w:sz w:val="24"/>
          <w:szCs w:val="24"/>
          <w:u w:val="single"/>
        </w:rPr>
        <w:t>自委托之日起至此项目完成之日止。</w:t>
      </w:r>
    </w:p>
    <w:p w14:paraId="34013A17">
      <w:pPr>
        <w:spacing w:line="360" w:lineRule="auto"/>
        <w:ind w:firstLine="435"/>
        <w:rPr>
          <w:rFonts w:hint="eastAsia" w:ascii="宋体" w:hAnsi="宋体" w:cs="宋体"/>
          <w:color w:val="auto"/>
          <w:kern w:val="0"/>
          <w:sz w:val="24"/>
          <w:szCs w:val="24"/>
        </w:rPr>
      </w:pPr>
      <w:r>
        <w:rPr>
          <w:rFonts w:hint="eastAsia" w:ascii="宋体" w:hAnsi="宋体" w:cs="宋体"/>
          <w:color w:val="auto"/>
          <w:kern w:val="0"/>
          <w:sz w:val="24"/>
          <w:szCs w:val="24"/>
        </w:rPr>
        <w:t>代理人无转委托权。</w:t>
      </w:r>
    </w:p>
    <w:p w14:paraId="617B5A67">
      <w:pPr>
        <w:spacing w:line="360" w:lineRule="auto"/>
        <w:ind w:firstLine="435"/>
        <w:rPr>
          <w:rFonts w:hint="eastAsia" w:ascii="宋体" w:hAnsi="宋体" w:cs="宋体"/>
          <w:color w:val="auto"/>
          <w:sz w:val="24"/>
          <w:szCs w:val="24"/>
        </w:rPr>
      </w:pPr>
      <w:r>
        <w:rPr>
          <w:rFonts w:hint="eastAsia" w:ascii="宋体" w:hAnsi="宋体" w:cs="宋体"/>
          <w:color w:val="auto"/>
          <w:sz w:val="24"/>
          <w:szCs w:val="24"/>
        </w:rPr>
        <w:t>本授权书于202</w:t>
      </w:r>
      <w:r>
        <w:rPr>
          <w:rFonts w:hint="eastAsia" w:ascii="宋体" w:hAnsi="宋体" w:cs="宋体"/>
          <w:color w:val="auto"/>
          <w:sz w:val="24"/>
          <w:szCs w:val="24"/>
          <w:lang w:val="en-US" w:eastAsia="zh-CN"/>
        </w:rPr>
        <w:t>5</w:t>
      </w:r>
      <w:r>
        <w:rPr>
          <w:rFonts w:hint="eastAsia" w:ascii="宋体" w:hAnsi="宋体" w:cs="宋体"/>
          <w:color w:val="auto"/>
          <w:sz w:val="24"/>
          <w:szCs w:val="24"/>
        </w:rPr>
        <w:t>年    月   日签字生效，特此声明。</w:t>
      </w:r>
    </w:p>
    <w:p w14:paraId="57D3C1DC">
      <w:pPr>
        <w:adjustRightInd w:val="0"/>
        <w:snapToGrid w:val="0"/>
        <w:spacing w:before="156" w:beforeLines="5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附：委托代理人身份证复印件及法定代表人身份证明</w:t>
      </w:r>
    </w:p>
    <w:tbl>
      <w:tblPr>
        <w:tblStyle w:val="19"/>
        <w:tblW w:w="936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4680"/>
      </w:tblGrid>
      <w:tr w14:paraId="4987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4680" w:type="dxa"/>
            <w:noWrap w:val="0"/>
            <w:vAlign w:val="top"/>
          </w:tcPr>
          <w:p w14:paraId="24E7B483">
            <w:pPr>
              <w:adjustRightInd w:val="0"/>
              <w:snapToGrid w:val="0"/>
              <w:spacing w:line="360" w:lineRule="auto"/>
              <w:ind w:right="420"/>
              <w:rPr>
                <w:rFonts w:hint="eastAsia" w:ascii="宋体" w:hAnsi="宋体" w:cs="宋体"/>
                <w:color w:val="auto"/>
                <w:szCs w:val="21"/>
              </w:rPr>
            </w:pPr>
          </w:p>
        </w:tc>
        <w:tc>
          <w:tcPr>
            <w:tcW w:w="4680" w:type="dxa"/>
            <w:noWrap w:val="0"/>
            <w:vAlign w:val="top"/>
          </w:tcPr>
          <w:p w14:paraId="0104E075">
            <w:pPr>
              <w:adjustRightInd w:val="0"/>
              <w:snapToGrid w:val="0"/>
              <w:spacing w:line="360" w:lineRule="auto"/>
              <w:ind w:right="420"/>
              <w:rPr>
                <w:rFonts w:hint="eastAsia" w:ascii="宋体" w:hAnsi="宋体" w:cs="宋体"/>
                <w:color w:val="auto"/>
                <w:szCs w:val="21"/>
              </w:rPr>
            </w:pPr>
          </w:p>
        </w:tc>
      </w:tr>
    </w:tbl>
    <w:p w14:paraId="58333D65">
      <w:pPr>
        <w:adjustRightInd w:val="0"/>
        <w:snapToGrid w:val="0"/>
        <w:spacing w:line="360" w:lineRule="auto"/>
        <w:ind w:right="420"/>
        <w:rPr>
          <w:rFonts w:hint="eastAsia" w:ascii="宋体" w:hAnsi="宋体" w:cs="宋体"/>
          <w:color w:val="auto"/>
          <w:szCs w:val="21"/>
        </w:rPr>
      </w:pPr>
    </w:p>
    <w:p w14:paraId="4315CA04">
      <w:pPr>
        <w:adjustRightInd w:val="0"/>
        <w:snapToGrid w:val="0"/>
        <w:spacing w:line="360" w:lineRule="auto"/>
        <w:ind w:right="420"/>
        <w:rPr>
          <w:rFonts w:hint="eastAsia" w:ascii="宋体" w:hAnsi="宋体" w:cs="宋体"/>
          <w:color w:val="auto"/>
          <w:sz w:val="24"/>
          <w:szCs w:val="24"/>
        </w:rPr>
      </w:pPr>
      <w:r>
        <w:rPr>
          <w:rFonts w:hint="eastAsia" w:ascii="宋体" w:hAnsi="宋体" w:cs="宋体"/>
          <w:color w:val="auto"/>
          <w:sz w:val="24"/>
          <w:szCs w:val="24"/>
        </w:rPr>
        <w:t>法定代表人（签字）：</w:t>
      </w:r>
    </w:p>
    <w:p w14:paraId="28B1B207">
      <w:pPr>
        <w:adjustRightInd w:val="0"/>
        <w:snapToGrid w:val="0"/>
        <w:spacing w:line="360" w:lineRule="auto"/>
        <w:ind w:right="420"/>
        <w:rPr>
          <w:rFonts w:hint="eastAsia" w:ascii="宋体" w:hAnsi="宋体" w:cs="宋体"/>
          <w:color w:val="auto"/>
          <w:sz w:val="24"/>
          <w:szCs w:val="24"/>
        </w:rPr>
      </w:pPr>
      <w:r>
        <w:rPr>
          <w:rFonts w:hint="eastAsia" w:ascii="宋体" w:hAnsi="宋体" w:cs="宋体"/>
          <w:color w:val="auto"/>
          <w:sz w:val="24"/>
          <w:szCs w:val="24"/>
        </w:rPr>
        <w:t>委托代理人（签字）：</w:t>
      </w:r>
    </w:p>
    <w:p w14:paraId="172BBF4F">
      <w:pPr>
        <w:adjustRightInd w:val="0"/>
        <w:snapToGrid w:val="0"/>
        <w:spacing w:line="360" w:lineRule="auto"/>
        <w:ind w:right="24"/>
        <w:rPr>
          <w:rFonts w:hint="eastAsia" w:ascii="宋体" w:hAnsi="宋体" w:cs="宋体"/>
          <w:color w:val="auto"/>
          <w:sz w:val="24"/>
          <w:szCs w:val="24"/>
        </w:rPr>
      </w:pPr>
      <w:r>
        <w:rPr>
          <w:rFonts w:hint="eastAsia" w:ascii="宋体" w:hAnsi="宋体" w:cs="宋体"/>
          <w:color w:val="auto"/>
          <w:sz w:val="24"/>
          <w:szCs w:val="24"/>
        </w:rPr>
        <w:t>日期：   年   月   日</w:t>
      </w:r>
    </w:p>
    <w:p w14:paraId="56316CCA">
      <w:pPr>
        <w:widowControl/>
        <w:topLinePunct/>
        <w:spacing w:line="440" w:lineRule="atLeast"/>
        <w:jc w:val="left"/>
        <w:rPr>
          <w:rFonts w:hint="eastAsia" w:ascii="宋体" w:hAnsi="宋体" w:cs="宋体"/>
          <w:b/>
          <w:color w:val="auto"/>
          <w:kern w:val="0"/>
          <w:sz w:val="24"/>
          <w:szCs w:val="24"/>
        </w:rPr>
      </w:pPr>
      <w:r>
        <w:rPr>
          <w:rFonts w:hint="eastAsia" w:ascii="宋体" w:hAnsi="宋体" w:cs="宋体"/>
          <w:b/>
          <w:color w:val="auto"/>
          <w:kern w:val="0"/>
          <w:sz w:val="24"/>
          <w:szCs w:val="24"/>
        </w:rPr>
        <w:t>注：请另准备本授权委托书原件一份，开标会时单独提交，并同时提交委托代理人身份证原件。</w:t>
      </w:r>
    </w:p>
    <w:p w14:paraId="74BFFBD1">
      <w:pPr>
        <w:pStyle w:val="5"/>
        <w:rPr>
          <w:color w:val="auto"/>
        </w:rPr>
      </w:pPr>
    </w:p>
    <w:p w14:paraId="6BD5D7F6">
      <w:pPr>
        <w:pStyle w:val="5"/>
        <w:rPr>
          <w:color w:val="auto"/>
        </w:rPr>
      </w:pPr>
    </w:p>
    <w:p w14:paraId="7397A7E2">
      <w:pPr>
        <w:pStyle w:val="5"/>
        <w:rPr>
          <w:color w:val="auto"/>
        </w:rPr>
      </w:pPr>
    </w:p>
    <w:p w14:paraId="05DE553C">
      <w:pPr>
        <w:pStyle w:val="5"/>
        <w:rPr>
          <w:color w:val="auto"/>
        </w:rPr>
      </w:pPr>
    </w:p>
    <w:p w14:paraId="4153E482">
      <w:pPr>
        <w:widowControl/>
        <w:spacing w:line="375" w:lineRule="atLeast"/>
        <w:jc w:val="left"/>
        <w:rPr>
          <w:rFonts w:hint="eastAsia" w:ascii="宋体" w:hAnsi="宋体" w:eastAsia="黑体" w:cs="宋体"/>
          <w:color w:val="auto"/>
          <w:sz w:val="30"/>
          <w:szCs w:val="30"/>
        </w:rPr>
      </w:pPr>
      <w:r>
        <w:rPr>
          <w:rFonts w:hint="eastAsia" w:ascii="黑体" w:hAnsi="黑体" w:eastAsia="黑体" w:cs="黑体"/>
          <w:b/>
          <w:color w:val="auto"/>
          <w:kern w:val="0"/>
          <w:sz w:val="24"/>
        </w:rPr>
        <w:t>附件4</w:t>
      </w:r>
    </w:p>
    <w:p w14:paraId="461C881B">
      <w:pPr>
        <w:widowControl/>
        <w:spacing w:before="156" w:beforeLines="50" w:after="312" w:afterLines="100" w:line="440"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参加采购活动前三年内在经营活动中没有重大违法记录的书面声明</w:t>
      </w:r>
    </w:p>
    <w:p w14:paraId="08E0FC1F">
      <w:pPr>
        <w:adjustRightInd w:val="0"/>
        <w:snapToGrid w:val="0"/>
        <w:spacing w:before="156" w:beforeLines="50" w:line="360" w:lineRule="auto"/>
        <w:ind w:left="-88" w:leftChars="-42"/>
        <w:outlineLvl w:val="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湖南化工职业技术学院</w:t>
      </w:r>
      <w:r>
        <w:rPr>
          <w:rFonts w:hint="eastAsia" w:ascii="宋体" w:hAnsi="宋体" w:cs="宋体"/>
          <w:color w:val="auto"/>
          <w:sz w:val="24"/>
          <w:szCs w:val="24"/>
        </w:rPr>
        <w:t>：</w:t>
      </w:r>
    </w:p>
    <w:p w14:paraId="6B1E00B4">
      <w:pPr>
        <w:widowControl/>
        <w:adjustRightInd w:val="0"/>
        <w:snapToGrid w:val="0"/>
        <w:spacing w:before="156" w:beforeLines="50" w:line="360" w:lineRule="auto"/>
        <w:ind w:firstLine="480" w:firstLineChars="200"/>
        <w:rPr>
          <w:rFonts w:hint="eastAsia" w:ascii="宋体" w:hAnsi="宋体" w:cs="宋体"/>
          <w:color w:val="auto"/>
          <w:sz w:val="24"/>
          <w:szCs w:val="24"/>
        </w:rPr>
      </w:pPr>
      <w:r>
        <w:rPr>
          <w:rFonts w:hint="eastAsia" w:ascii="宋体" w:hAnsi="宋体" w:cs="宋体"/>
          <w:bCs/>
          <w:color w:val="auto"/>
          <w:sz w:val="24"/>
          <w:szCs w:val="24"/>
        </w:rPr>
        <w:t>我单位在</w:t>
      </w:r>
      <w:r>
        <w:rPr>
          <w:rFonts w:hint="eastAsia" w:ascii="宋体" w:hAnsi="宋体" w:cs="宋体"/>
          <w:color w:val="auto"/>
          <w:sz w:val="24"/>
          <w:szCs w:val="24"/>
        </w:rPr>
        <w:t>参加采购活动前三年内在经营活动中没有政府采购法第二十二条第一款第（五）项所称重大违法记录，包括：</w:t>
      </w:r>
    </w:p>
    <w:p w14:paraId="00B4364E">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受到刑事处罚，</w:t>
      </w:r>
      <w:r>
        <w:rPr>
          <w:rFonts w:hint="eastAsia" w:ascii="宋体" w:hAnsi="宋体" w:cs="宋体"/>
          <w:bCs/>
          <w:color w:val="auto"/>
          <w:sz w:val="24"/>
          <w:szCs w:val="24"/>
        </w:rPr>
        <w:t>受到较大数额以上的罚款、责令停产停业、在一至三年内禁止参加政府采购活动、暂扣或者吊销许可证、暂扣或者吊销执照等情形之一的行政处罚，或者存在</w:t>
      </w:r>
      <w:r>
        <w:rPr>
          <w:rFonts w:hint="eastAsia" w:ascii="宋体" w:hAnsi="宋体" w:cs="宋体"/>
          <w:color w:val="auto"/>
          <w:sz w:val="24"/>
          <w:szCs w:val="24"/>
        </w:rPr>
        <w:t>财政部门认定的其他重大违法记录。</w:t>
      </w:r>
    </w:p>
    <w:p w14:paraId="1F3F6E68">
      <w:pPr>
        <w:widowControl/>
        <w:adjustRightInd w:val="0"/>
        <w:snapToGrid w:val="0"/>
        <w:spacing w:before="156" w:beforeLines="50" w:line="360" w:lineRule="auto"/>
        <w:ind w:firstLine="465" w:firstLineChars="194"/>
        <w:rPr>
          <w:rFonts w:hint="eastAsia" w:ascii="宋体" w:hAnsi="宋体" w:cs="宋体"/>
          <w:color w:val="auto"/>
          <w:sz w:val="24"/>
          <w:szCs w:val="24"/>
        </w:rPr>
      </w:pPr>
      <w:r>
        <w:rPr>
          <w:rFonts w:hint="eastAsia" w:ascii="宋体" w:hAnsi="宋体" w:cs="宋体"/>
          <w:color w:val="auto"/>
          <w:sz w:val="24"/>
          <w:szCs w:val="24"/>
        </w:rPr>
        <w:t>特此声明！</w:t>
      </w:r>
    </w:p>
    <w:p w14:paraId="0CC432DD">
      <w:pPr>
        <w:widowControl/>
        <w:adjustRightInd w:val="0"/>
        <w:snapToGrid w:val="0"/>
        <w:spacing w:before="156" w:beforeLines="50" w:line="360" w:lineRule="auto"/>
        <w:ind w:firstLine="420"/>
        <w:rPr>
          <w:rFonts w:hint="eastAsia" w:ascii="宋体" w:hAnsi="宋体" w:cs="宋体"/>
          <w:color w:val="auto"/>
          <w:szCs w:val="21"/>
        </w:rPr>
      </w:pPr>
    </w:p>
    <w:p w14:paraId="0334411E">
      <w:pPr>
        <w:widowControl/>
        <w:adjustRightInd w:val="0"/>
        <w:snapToGrid w:val="0"/>
        <w:spacing w:before="156" w:beforeLines="50" w:line="360" w:lineRule="auto"/>
        <w:ind w:firstLine="420"/>
        <w:rPr>
          <w:rFonts w:hint="eastAsia" w:ascii="宋体" w:hAnsi="宋体" w:cs="宋体"/>
          <w:color w:val="auto"/>
          <w:szCs w:val="21"/>
        </w:rPr>
      </w:pPr>
    </w:p>
    <w:p w14:paraId="69995141">
      <w:pPr>
        <w:adjustRightInd w:val="0"/>
        <w:snapToGrid w:val="0"/>
        <w:spacing w:before="156" w:beforeLines="50" w:line="360" w:lineRule="auto"/>
        <w:rPr>
          <w:rFonts w:hint="eastAsia" w:ascii="宋体" w:hAnsi="宋体" w:cs="宋体"/>
          <w:color w:val="auto"/>
          <w:sz w:val="24"/>
          <w:szCs w:val="24"/>
        </w:rPr>
      </w:pPr>
      <w:r>
        <w:rPr>
          <w:rFonts w:hint="eastAsia" w:ascii="宋体" w:hAnsi="宋体" w:cs="宋体"/>
          <w:color w:val="auto"/>
          <w:sz w:val="24"/>
          <w:szCs w:val="24"/>
        </w:rPr>
        <w:t>投标人名称（单位章）：</w:t>
      </w:r>
    </w:p>
    <w:p w14:paraId="428D1FAC">
      <w:pPr>
        <w:adjustRightInd w:val="0"/>
        <w:snapToGrid w:val="0"/>
        <w:spacing w:before="156" w:beforeLines="50" w:line="360" w:lineRule="auto"/>
        <w:rPr>
          <w:rFonts w:hint="eastAsia" w:ascii="宋体" w:hAnsi="宋体" w:cs="宋体"/>
          <w:color w:val="auto"/>
          <w:sz w:val="24"/>
          <w:szCs w:val="24"/>
        </w:rPr>
      </w:pPr>
      <w:r>
        <w:rPr>
          <w:rFonts w:hint="eastAsia" w:ascii="宋体" w:hAnsi="宋体" w:cs="宋体"/>
          <w:color w:val="auto"/>
          <w:sz w:val="24"/>
          <w:szCs w:val="24"/>
        </w:rPr>
        <w:t>法定代表人或其委托代理人（签字）：</w:t>
      </w:r>
    </w:p>
    <w:p w14:paraId="4F142372">
      <w:pPr>
        <w:spacing w:line="480" w:lineRule="exact"/>
        <w:rPr>
          <w:rFonts w:hint="eastAsia" w:ascii="宋体" w:hAnsi="宋体" w:cs="宋体"/>
          <w:color w:val="auto"/>
          <w:sz w:val="24"/>
          <w:szCs w:val="24"/>
        </w:rPr>
      </w:pPr>
      <w:r>
        <w:rPr>
          <w:rFonts w:hint="eastAsia" w:ascii="宋体" w:hAnsi="宋体" w:cs="宋体"/>
          <w:color w:val="auto"/>
          <w:sz w:val="24"/>
          <w:szCs w:val="24"/>
        </w:rPr>
        <w:t>日期：   年  月   日</w:t>
      </w:r>
    </w:p>
    <w:p w14:paraId="6B551335">
      <w:pPr>
        <w:spacing w:line="480" w:lineRule="exact"/>
        <w:rPr>
          <w:rFonts w:hint="eastAsia" w:ascii="宋体" w:hAnsi="宋体" w:cs="宋体"/>
          <w:color w:val="auto"/>
          <w:sz w:val="24"/>
          <w:szCs w:val="24"/>
        </w:rPr>
      </w:pPr>
    </w:p>
    <w:p w14:paraId="1FC79021">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（附信用中国网站（www.creditchina.gov.cn）、中国政府采购网（www.ccgp.gov.cn）上信用记录查询的网页截图并加盖公司公章）</w:t>
      </w:r>
    </w:p>
    <w:p w14:paraId="156657C5">
      <w:pPr>
        <w:pStyle w:val="5"/>
        <w:rPr>
          <w:color w:val="auto"/>
        </w:rPr>
      </w:pPr>
    </w:p>
    <w:p w14:paraId="2618454C">
      <w:pPr>
        <w:widowControl/>
        <w:spacing w:before="124" w:beforeLines="40" w:after="124" w:afterLines="40" w:line="375" w:lineRule="atLeast"/>
        <w:jc w:val="left"/>
        <w:rPr>
          <w:rFonts w:hint="eastAsia" w:ascii="黑体" w:hAnsi="黑体" w:eastAsia="黑体" w:cs="黑体"/>
          <w:b/>
          <w:color w:val="auto"/>
          <w:kern w:val="0"/>
          <w:sz w:val="24"/>
        </w:rPr>
      </w:pPr>
    </w:p>
    <w:p w14:paraId="494F4384">
      <w:pPr>
        <w:widowControl/>
        <w:spacing w:before="124" w:beforeLines="40" w:after="124" w:afterLines="40" w:line="375" w:lineRule="atLeast"/>
        <w:jc w:val="left"/>
        <w:rPr>
          <w:rFonts w:hint="eastAsia" w:ascii="黑体" w:hAnsi="黑体" w:eastAsia="黑体" w:cs="黑体"/>
          <w:b/>
          <w:color w:val="auto"/>
          <w:kern w:val="0"/>
          <w:sz w:val="24"/>
        </w:rPr>
      </w:pPr>
    </w:p>
    <w:p w14:paraId="631CD3B8">
      <w:pPr>
        <w:widowControl/>
        <w:spacing w:before="124" w:beforeLines="40" w:after="124" w:afterLines="40" w:line="375" w:lineRule="atLeast"/>
        <w:jc w:val="left"/>
        <w:rPr>
          <w:rFonts w:hint="eastAsia" w:ascii="黑体" w:hAnsi="黑体" w:eastAsia="黑体" w:cs="黑体"/>
          <w:b/>
          <w:color w:val="auto"/>
          <w:kern w:val="0"/>
          <w:sz w:val="24"/>
        </w:rPr>
      </w:pPr>
    </w:p>
    <w:p w14:paraId="073FC0D3">
      <w:pPr>
        <w:widowControl/>
        <w:spacing w:before="124" w:beforeLines="40" w:after="124" w:afterLines="40" w:line="375" w:lineRule="atLeast"/>
        <w:jc w:val="left"/>
        <w:rPr>
          <w:rFonts w:hint="eastAsia" w:ascii="黑体" w:hAnsi="黑体" w:eastAsia="黑体" w:cs="黑体"/>
          <w:b/>
          <w:color w:val="auto"/>
          <w:kern w:val="0"/>
          <w:sz w:val="24"/>
        </w:rPr>
      </w:pPr>
    </w:p>
    <w:p w14:paraId="09757453">
      <w:pPr>
        <w:widowControl/>
        <w:spacing w:before="124" w:beforeLines="40" w:after="124" w:afterLines="40" w:line="375" w:lineRule="atLeast"/>
        <w:jc w:val="left"/>
        <w:rPr>
          <w:rFonts w:hint="eastAsia" w:ascii="黑体" w:hAnsi="黑体" w:eastAsia="黑体" w:cs="黑体"/>
          <w:b/>
          <w:color w:val="auto"/>
          <w:kern w:val="0"/>
          <w:sz w:val="24"/>
        </w:rPr>
      </w:pPr>
    </w:p>
    <w:p w14:paraId="744CCD3D">
      <w:pPr>
        <w:widowControl/>
        <w:spacing w:before="124" w:beforeLines="40" w:after="124" w:afterLines="40" w:line="375" w:lineRule="atLeast"/>
        <w:jc w:val="left"/>
        <w:rPr>
          <w:rFonts w:hint="eastAsia" w:ascii="黑体" w:hAnsi="黑体" w:eastAsia="黑体" w:cs="黑体"/>
          <w:b/>
          <w:color w:val="auto"/>
          <w:kern w:val="0"/>
          <w:sz w:val="24"/>
        </w:rPr>
      </w:pPr>
    </w:p>
    <w:p w14:paraId="28A9C673">
      <w:pPr>
        <w:widowControl/>
        <w:spacing w:before="124" w:beforeLines="40" w:after="124" w:afterLines="40" w:line="375" w:lineRule="atLeast"/>
        <w:jc w:val="left"/>
        <w:rPr>
          <w:rFonts w:hint="eastAsia" w:ascii="黑体" w:hAnsi="黑体" w:eastAsia="黑体" w:cs="黑体"/>
          <w:b/>
          <w:color w:val="auto"/>
          <w:kern w:val="0"/>
          <w:sz w:val="24"/>
        </w:rPr>
      </w:pPr>
    </w:p>
    <w:p w14:paraId="3FC6441F">
      <w:pPr>
        <w:widowControl/>
        <w:spacing w:before="124" w:beforeLines="40" w:after="124" w:afterLines="40" w:line="375" w:lineRule="atLeast"/>
        <w:jc w:val="left"/>
        <w:rPr>
          <w:rFonts w:hint="eastAsia" w:ascii="黑体" w:hAnsi="黑体" w:eastAsia="黑体" w:cs="黑体"/>
          <w:b/>
          <w:color w:val="auto"/>
          <w:kern w:val="0"/>
          <w:sz w:val="24"/>
        </w:rPr>
      </w:pPr>
    </w:p>
    <w:p w14:paraId="7D46D5CE">
      <w:pPr>
        <w:widowControl/>
        <w:spacing w:line="375" w:lineRule="atLeast"/>
        <w:jc w:val="left"/>
        <w:rPr>
          <w:rFonts w:hint="eastAsia" w:ascii="黑体" w:hAnsi="黑体" w:eastAsia="黑体" w:cs="黑体"/>
          <w:b/>
          <w:color w:val="auto"/>
          <w:kern w:val="0"/>
          <w:sz w:val="24"/>
        </w:rPr>
      </w:pPr>
      <w:r>
        <w:rPr>
          <w:rFonts w:hint="eastAsia" w:ascii="黑体" w:hAnsi="黑体" w:eastAsia="黑体" w:cs="黑体"/>
          <w:b/>
          <w:color w:val="auto"/>
          <w:kern w:val="0"/>
          <w:sz w:val="24"/>
        </w:rPr>
        <w:t>附件5</w:t>
      </w:r>
    </w:p>
    <w:p w14:paraId="0FF89CA2">
      <w:pPr>
        <w:widowControl/>
        <w:spacing w:before="124" w:beforeLines="40" w:after="124" w:afterLines="40" w:line="375" w:lineRule="atLeast"/>
        <w:jc w:val="center"/>
        <w:rPr>
          <w:rFonts w:hint="eastAsia" w:ascii="微软雅黑" w:hAnsi="微软雅黑" w:eastAsia="微软雅黑" w:cs="微软雅黑"/>
          <w:color w:val="auto"/>
          <w:kern w:val="0"/>
          <w:sz w:val="28"/>
          <w:szCs w:val="28"/>
        </w:rPr>
      </w:pPr>
      <w:r>
        <w:rPr>
          <w:rFonts w:hint="eastAsia" w:ascii="微软雅黑" w:hAnsi="微软雅黑" w:eastAsia="微软雅黑" w:cs="微软雅黑"/>
          <w:b/>
          <w:color w:val="auto"/>
          <w:kern w:val="0"/>
          <w:sz w:val="28"/>
          <w:szCs w:val="28"/>
        </w:rPr>
        <w:t>服务承诺书（格式）</w:t>
      </w:r>
    </w:p>
    <w:p w14:paraId="0C31B13C">
      <w:pPr>
        <w:widowControl/>
        <w:spacing w:line="420" w:lineRule="exact"/>
        <w:ind w:firstLine="480" w:firstLineChars="200"/>
        <w:jc w:val="left"/>
        <w:rPr>
          <w:rFonts w:ascii="宋体" w:hAnsi="宋体" w:cs="宋体"/>
          <w:color w:val="auto"/>
          <w:kern w:val="0"/>
          <w:sz w:val="24"/>
        </w:rPr>
      </w:pPr>
      <w:r>
        <w:rPr>
          <w:rFonts w:ascii="宋体" w:hAnsi="宋体" w:cs="宋体"/>
          <w:color w:val="auto"/>
          <w:kern w:val="0"/>
          <w:sz w:val="24"/>
        </w:rPr>
        <w:t>致：湖南</w:t>
      </w:r>
      <w:r>
        <w:rPr>
          <w:rFonts w:hint="eastAsia" w:ascii="宋体" w:hAnsi="宋体" w:cs="宋体"/>
          <w:color w:val="auto"/>
          <w:kern w:val="0"/>
          <w:sz w:val="24"/>
        </w:rPr>
        <w:t>化工职业技术学院</w:t>
      </w:r>
      <w:r>
        <w:rPr>
          <w:rFonts w:ascii="宋体" w:hAnsi="宋体" w:cs="宋体"/>
          <w:color w:val="auto"/>
          <w:kern w:val="0"/>
          <w:sz w:val="24"/>
        </w:rPr>
        <w:t>：</w:t>
      </w:r>
    </w:p>
    <w:p w14:paraId="799E4494">
      <w:pPr>
        <w:widowControl/>
        <w:spacing w:line="420" w:lineRule="exact"/>
        <w:ind w:firstLine="960" w:firstLineChars="400"/>
        <w:jc w:val="left"/>
        <w:rPr>
          <w:rFonts w:ascii="宋体" w:hAnsi="宋体" w:cs="宋体"/>
          <w:color w:val="auto"/>
          <w:kern w:val="0"/>
          <w:sz w:val="24"/>
        </w:rPr>
      </w:pPr>
      <w:r>
        <w:rPr>
          <w:rFonts w:ascii="宋体" w:hAnsi="宋体" w:cs="宋体"/>
          <w:color w:val="auto"/>
          <w:kern w:val="0"/>
          <w:sz w:val="24"/>
        </w:rPr>
        <w:t>根据你</w:t>
      </w:r>
      <w:r>
        <w:rPr>
          <w:rFonts w:hint="eastAsia" w:ascii="宋体" w:hAnsi="宋体" w:cs="宋体"/>
          <w:color w:val="auto"/>
          <w:kern w:val="0"/>
          <w:sz w:val="24"/>
        </w:rPr>
        <w:t>院</w:t>
      </w:r>
      <w:r>
        <w:rPr>
          <w:rFonts w:ascii="宋体" w:hAnsi="宋体" w:cs="宋体"/>
          <w:color w:val="auto"/>
          <w:kern w:val="0"/>
          <w:sz w:val="24"/>
        </w:rPr>
        <w:t>招标文件中的要求，我们对所投标的</w:t>
      </w:r>
      <w:r>
        <w:rPr>
          <w:rFonts w:hint="eastAsia" w:ascii="宋体" w:hAnsi="宋体" w:cs="宋体"/>
          <w:color w:val="auto"/>
          <w:kern w:val="0"/>
          <w:sz w:val="24"/>
        </w:rPr>
        <w:t>服务</w:t>
      </w:r>
      <w:r>
        <w:rPr>
          <w:rFonts w:ascii="宋体" w:hAnsi="宋体" w:cs="宋体"/>
          <w:color w:val="auto"/>
          <w:kern w:val="0"/>
          <w:sz w:val="24"/>
        </w:rPr>
        <w:t>承诺如下服务：</w:t>
      </w:r>
    </w:p>
    <w:p w14:paraId="59DB42DB">
      <w:pPr>
        <w:widowControl/>
        <w:spacing w:line="420" w:lineRule="exact"/>
        <w:ind w:firstLine="964" w:firstLineChars="400"/>
        <w:jc w:val="left"/>
        <w:rPr>
          <w:rFonts w:ascii="宋体" w:hAnsi="宋体" w:cs="宋体"/>
          <w:b/>
          <w:bCs/>
          <w:color w:val="auto"/>
          <w:kern w:val="0"/>
          <w:sz w:val="24"/>
        </w:rPr>
      </w:pPr>
    </w:p>
    <w:p w14:paraId="3858C067">
      <w:pPr>
        <w:widowControl/>
        <w:spacing w:line="420" w:lineRule="exact"/>
        <w:jc w:val="left"/>
        <w:rPr>
          <w:rFonts w:ascii="宋体" w:hAnsi="宋体" w:cs="宋体"/>
          <w:b/>
          <w:bCs/>
          <w:color w:val="auto"/>
          <w:kern w:val="0"/>
          <w:sz w:val="24"/>
        </w:rPr>
      </w:pPr>
    </w:p>
    <w:p w14:paraId="301F623E">
      <w:pPr>
        <w:widowControl/>
        <w:spacing w:line="420" w:lineRule="exact"/>
        <w:ind w:firstLine="964" w:firstLineChars="400"/>
        <w:jc w:val="left"/>
        <w:rPr>
          <w:rFonts w:hint="eastAsia" w:ascii="宋体" w:hAnsi="宋体" w:cs="宋体"/>
          <w:b/>
          <w:bCs/>
          <w:color w:val="auto"/>
          <w:kern w:val="0"/>
          <w:sz w:val="24"/>
        </w:rPr>
      </w:pPr>
      <w:r>
        <w:rPr>
          <w:rFonts w:ascii="宋体" w:hAnsi="宋体" w:cs="宋体"/>
          <w:b/>
          <w:bCs/>
          <w:color w:val="auto"/>
          <w:kern w:val="0"/>
          <w:sz w:val="24"/>
        </w:rPr>
        <w:t>特此承诺</w:t>
      </w:r>
      <w:r>
        <w:rPr>
          <w:rFonts w:hint="eastAsia" w:ascii="宋体" w:hAnsi="宋体" w:cs="宋体"/>
          <w:b/>
          <w:bCs/>
          <w:color w:val="auto"/>
          <w:kern w:val="0"/>
          <w:sz w:val="24"/>
        </w:rPr>
        <w:t>。</w:t>
      </w:r>
    </w:p>
    <w:p w14:paraId="04710641">
      <w:pPr>
        <w:widowControl/>
        <w:spacing w:line="420" w:lineRule="exact"/>
        <w:ind w:firstLine="964" w:firstLineChars="400"/>
        <w:jc w:val="left"/>
        <w:rPr>
          <w:rFonts w:hint="eastAsia" w:ascii="宋体" w:hAnsi="宋体" w:cs="宋体"/>
          <w:b/>
          <w:bCs/>
          <w:color w:val="auto"/>
          <w:kern w:val="0"/>
          <w:sz w:val="24"/>
        </w:rPr>
      </w:pPr>
    </w:p>
    <w:p w14:paraId="581DA830">
      <w:pPr>
        <w:widowControl/>
        <w:spacing w:line="420" w:lineRule="exact"/>
        <w:ind w:firstLine="960" w:firstLineChars="400"/>
        <w:jc w:val="left"/>
        <w:rPr>
          <w:rFonts w:ascii="宋体" w:hAnsi="宋体"/>
          <w:color w:val="auto"/>
          <w:kern w:val="0"/>
          <w:sz w:val="24"/>
        </w:rPr>
      </w:pPr>
      <w:r>
        <w:rPr>
          <w:rFonts w:hint="eastAsia" w:ascii="宋体" w:hAnsi="宋体" w:cs="宋体"/>
          <w:color w:val="auto"/>
          <w:kern w:val="0"/>
          <w:sz w:val="24"/>
        </w:rPr>
        <w:t>法定代表人或其委托代理人（签字）</w:t>
      </w:r>
      <w:r>
        <w:rPr>
          <w:rFonts w:ascii="宋体" w:hAnsi="宋体" w:cs="宋体"/>
          <w:color w:val="auto"/>
          <w:kern w:val="0"/>
          <w:sz w:val="24"/>
        </w:rPr>
        <w:t>：</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p>
    <w:p w14:paraId="797581CC">
      <w:pPr>
        <w:widowControl/>
        <w:spacing w:line="420" w:lineRule="exact"/>
        <w:ind w:firstLine="960" w:firstLineChars="400"/>
        <w:jc w:val="left"/>
        <w:rPr>
          <w:rFonts w:ascii="宋体" w:hAnsi="宋体"/>
          <w:color w:val="auto"/>
          <w:kern w:val="0"/>
          <w:sz w:val="24"/>
        </w:rPr>
      </w:pPr>
      <w:r>
        <w:rPr>
          <w:rFonts w:ascii="宋体" w:hAnsi="宋体" w:cs="宋体"/>
          <w:color w:val="auto"/>
          <w:kern w:val="0"/>
          <w:sz w:val="24"/>
        </w:rPr>
        <w:t>投标单位名称（公章）：</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ascii="宋体" w:hAnsi="宋体"/>
          <w:color w:val="auto"/>
          <w:kern w:val="0"/>
          <w:sz w:val="24"/>
        </w:rPr>
        <w:t xml:space="preserve"> </w:t>
      </w:r>
    </w:p>
    <w:p w14:paraId="1C8B53EB">
      <w:pPr>
        <w:widowControl/>
        <w:spacing w:line="375" w:lineRule="atLeast"/>
        <w:ind w:firstLine="117" w:firstLineChars="49"/>
        <w:jc w:val="left"/>
        <w:rPr>
          <w:rFonts w:hint="eastAsia" w:ascii="宋体" w:hAnsi="宋体" w:cs="宋体"/>
          <w:bCs/>
          <w:color w:val="auto"/>
          <w:kern w:val="0"/>
          <w:szCs w:val="21"/>
        </w:rPr>
      </w:pPr>
      <w:r>
        <w:rPr>
          <w:rFonts w:hint="eastAsia" w:ascii="宋体" w:hAnsi="宋体" w:cs="宋体"/>
          <w:bCs/>
          <w:color w:val="auto"/>
          <w:kern w:val="0"/>
          <w:sz w:val="24"/>
        </w:rPr>
        <w:t xml:space="preserve"> </w:t>
      </w:r>
    </w:p>
    <w:p w14:paraId="1F5FE9B1">
      <w:pPr>
        <w:widowControl/>
        <w:spacing w:before="124" w:beforeLines="40" w:after="124" w:afterLines="40" w:line="375"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需要提交的资格证明文件</w:t>
      </w:r>
    </w:p>
    <w:p w14:paraId="4755F68F">
      <w:pPr>
        <w:pStyle w:val="15"/>
        <w:widowControl w:val="0"/>
        <w:adjustRightInd w:val="0"/>
        <w:snapToGrid w:val="0"/>
        <w:spacing w:before="156" w:beforeLines="50" w:beforeAutospacing="0" w:after="0" w:afterAutospacing="0" w:line="360" w:lineRule="auto"/>
        <w:ind w:firstLine="480" w:firstLineChars="200"/>
        <w:rPr>
          <w:rFonts w:hint="eastAsia" w:cs="宋体"/>
          <w:snapToGrid w:val="0"/>
          <w:color w:val="auto"/>
        </w:rPr>
      </w:pPr>
      <w:r>
        <w:rPr>
          <w:rFonts w:hint="eastAsia" w:cs="宋体"/>
          <w:snapToGrid w:val="0"/>
          <w:color w:val="auto"/>
        </w:rPr>
        <w:t>1、法人提交企业法人营业执照副本(或者法人登记证书)以及组织机构代码证副本复印件（供应商具有实行了“三证合一”登记制度改革的新证，视同为持有工商营业执照、组织机构代码证和税务登记证，符合基本资格条件的相关条款；供应商具有实行了“五证合一”登记制度改革的新证，视同持有工商营业执照、组织机构代码证、税务登记证、社会保险登记证和统计登记证，符合基本资格条件的相关条款。供应商如是“三证合一或五证合一”，请自行说明</w:t>
      </w:r>
      <w:r>
        <w:rPr>
          <w:rFonts w:hint="eastAsia" w:cs="宋体"/>
          <w:snapToGrid w:val="0"/>
          <w:color w:val="auto"/>
          <w:lang w:eastAsia="zh-CN"/>
        </w:rPr>
        <w:t>。</w:t>
      </w:r>
      <w:r>
        <w:rPr>
          <w:rFonts w:hint="eastAsia" w:cs="宋体"/>
          <w:snapToGrid w:val="0"/>
          <w:color w:val="auto"/>
        </w:rPr>
        <w:t>）</w:t>
      </w:r>
    </w:p>
    <w:p w14:paraId="719339A8">
      <w:pPr>
        <w:pStyle w:val="15"/>
        <w:widowControl w:val="0"/>
        <w:adjustRightInd w:val="0"/>
        <w:snapToGrid w:val="0"/>
        <w:spacing w:before="0" w:beforeAutospacing="0" w:after="0" w:afterAutospacing="0" w:line="360" w:lineRule="auto"/>
        <w:ind w:firstLine="480" w:firstLineChars="200"/>
        <w:rPr>
          <w:rFonts w:hint="eastAsia" w:cs="宋体"/>
          <w:snapToGrid w:val="0"/>
          <w:color w:val="auto"/>
        </w:rPr>
      </w:pPr>
      <w:r>
        <w:rPr>
          <w:rFonts w:hint="eastAsia" w:cs="宋体"/>
          <w:snapToGrid w:val="0"/>
          <w:color w:val="auto"/>
        </w:rPr>
        <w:t>2、参与投标的代表是法定代表人的应提供法定代表人身份证明，参与投标的代表是授权委托人的，应提供附有法定代表人身份证明的授权委托书</w:t>
      </w:r>
    </w:p>
    <w:p w14:paraId="7A2DD1DD">
      <w:pPr>
        <w:pStyle w:val="15"/>
        <w:widowControl w:val="0"/>
        <w:adjustRightInd w:val="0"/>
        <w:snapToGrid w:val="0"/>
        <w:spacing w:before="0" w:beforeAutospacing="0" w:after="0" w:afterAutospacing="0" w:line="360" w:lineRule="auto"/>
        <w:ind w:firstLine="480" w:firstLineChars="200"/>
        <w:rPr>
          <w:rFonts w:hint="eastAsia" w:cs="宋体"/>
          <w:snapToGrid w:val="0"/>
          <w:color w:val="auto"/>
        </w:rPr>
      </w:pPr>
      <w:r>
        <w:rPr>
          <w:rFonts w:hint="eastAsia" w:cs="宋体"/>
          <w:snapToGrid w:val="0"/>
          <w:color w:val="auto"/>
        </w:rPr>
        <w:t>3、依法缴纳税收和社会保险费的证明材料；</w:t>
      </w:r>
    </w:p>
    <w:p w14:paraId="7797E6AB">
      <w:pPr>
        <w:pStyle w:val="15"/>
        <w:widowControl w:val="0"/>
        <w:adjustRightInd w:val="0"/>
        <w:snapToGrid w:val="0"/>
        <w:spacing w:before="0" w:beforeAutospacing="0" w:after="0" w:afterAutospacing="0" w:line="360" w:lineRule="auto"/>
        <w:ind w:firstLine="480" w:firstLineChars="200"/>
        <w:rPr>
          <w:rFonts w:hint="eastAsia" w:cs="宋体"/>
          <w:snapToGrid w:val="0"/>
          <w:color w:val="auto"/>
        </w:rPr>
      </w:pPr>
      <w:r>
        <w:rPr>
          <w:rFonts w:hint="eastAsia" w:cs="宋体"/>
          <w:snapToGrid w:val="0"/>
          <w:color w:val="auto"/>
        </w:rPr>
        <w:t>4、资格证明文件复印件须加盖供应商公章。</w:t>
      </w:r>
    </w:p>
    <w:p w14:paraId="2AA419C5">
      <w:pPr>
        <w:pStyle w:val="15"/>
        <w:widowControl w:val="0"/>
        <w:adjustRightInd w:val="0"/>
        <w:snapToGrid w:val="0"/>
        <w:spacing w:before="0" w:beforeAutospacing="0" w:after="0" w:afterAutospacing="0" w:line="360" w:lineRule="auto"/>
        <w:ind w:firstLine="480" w:firstLineChars="200"/>
        <w:rPr>
          <w:rFonts w:hint="default" w:eastAsia="宋体" w:cs="宋体"/>
          <w:snapToGrid w:val="0"/>
          <w:color w:val="auto"/>
          <w:lang w:val="en-US" w:eastAsia="zh-CN"/>
        </w:rPr>
      </w:pPr>
      <w:r>
        <w:rPr>
          <w:rFonts w:hint="eastAsia" w:cs="宋体"/>
          <w:snapToGrid w:val="0"/>
          <w:color w:val="auto"/>
        </w:rPr>
        <w:t>5、特定资格条件证明材</w:t>
      </w:r>
      <w:r>
        <w:rPr>
          <w:rFonts w:hint="eastAsia" w:cs="宋体"/>
          <w:snapToGrid w:val="0"/>
          <w:color w:val="auto"/>
          <w:lang w:val="en-US" w:eastAsia="zh-CN"/>
        </w:rPr>
        <w:t>(无)</w:t>
      </w:r>
    </w:p>
    <w:p w14:paraId="4BCF4A20">
      <w:pPr>
        <w:pStyle w:val="15"/>
        <w:widowControl w:val="0"/>
        <w:adjustRightInd w:val="0"/>
        <w:snapToGrid w:val="0"/>
        <w:spacing w:before="0" w:beforeAutospacing="0" w:after="0" w:afterAutospacing="0" w:line="360" w:lineRule="auto"/>
        <w:ind w:firstLine="480" w:firstLineChars="200"/>
        <w:rPr>
          <w:rFonts w:hint="eastAsia" w:cs="宋体"/>
          <w:snapToGrid w:val="0"/>
          <w:color w:val="auto"/>
        </w:rPr>
      </w:pPr>
    </w:p>
    <w:p w14:paraId="4DED4DCB">
      <w:pPr>
        <w:pStyle w:val="15"/>
        <w:widowControl w:val="0"/>
        <w:adjustRightInd w:val="0"/>
        <w:snapToGrid w:val="0"/>
        <w:spacing w:before="0" w:beforeAutospacing="0" w:after="0" w:afterAutospacing="0" w:line="360" w:lineRule="auto"/>
        <w:ind w:firstLine="480" w:firstLineChars="200"/>
        <w:rPr>
          <w:rFonts w:hint="eastAsia" w:cs="宋体"/>
          <w:snapToGrid w:val="0"/>
          <w:color w:val="auto"/>
        </w:rPr>
      </w:pPr>
    </w:p>
    <w:p w14:paraId="2BB39CA6">
      <w:pPr>
        <w:widowControl/>
        <w:spacing w:before="124" w:beforeLines="40" w:after="124" w:afterLines="40" w:line="375" w:lineRule="atLeast"/>
        <w:jc w:val="left"/>
        <w:rPr>
          <w:rFonts w:hint="eastAsia" w:ascii="黑体" w:hAnsi="黑体" w:eastAsia="黑体" w:cs="黑体"/>
          <w:b/>
          <w:color w:val="auto"/>
          <w:kern w:val="0"/>
          <w:sz w:val="24"/>
        </w:rPr>
      </w:pPr>
    </w:p>
    <w:p w14:paraId="74BC6C31">
      <w:pPr>
        <w:pStyle w:val="17"/>
        <w:rPr>
          <w:rFonts w:hint="eastAsia" w:ascii="黑体" w:hAnsi="黑体" w:eastAsia="黑体" w:cs="黑体"/>
          <w:b/>
          <w:color w:val="auto"/>
          <w:kern w:val="0"/>
          <w:sz w:val="24"/>
        </w:rPr>
      </w:pPr>
    </w:p>
    <w:p w14:paraId="56AD7909">
      <w:pPr>
        <w:rPr>
          <w:rFonts w:hint="eastAsia" w:ascii="黑体" w:hAnsi="黑体" w:eastAsia="黑体" w:cs="黑体"/>
          <w:b/>
          <w:color w:val="auto"/>
          <w:kern w:val="0"/>
          <w:sz w:val="24"/>
        </w:rPr>
      </w:pPr>
    </w:p>
    <w:p w14:paraId="18AA214B">
      <w:pPr>
        <w:rPr>
          <w:rFonts w:hint="eastAsia"/>
          <w:color w:val="auto"/>
        </w:rPr>
      </w:pPr>
    </w:p>
    <w:p w14:paraId="028AE89A">
      <w:pPr>
        <w:adjustRightInd w:val="0"/>
        <w:snapToGrid w:val="0"/>
        <w:spacing w:line="360" w:lineRule="auto"/>
        <w:rPr>
          <w:rFonts w:hint="eastAsia" w:ascii="黑体" w:hAnsi="黑体" w:eastAsia="黑体" w:cs="黑体"/>
          <w:b/>
          <w:color w:val="auto"/>
          <w:sz w:val="24"/>
        </w:rPr>
      </w:pPr>
    </w:p>
    <w:p w14:paraId="3581EF5C">
      <w:pPr>
        <w:adjustRightInd w:val="0"/>
        <w:snapToGrid w:val="0"/>
        <w:spacing w:line="360" w:lineRule="auto"/>
        <w:rPr>
          <w:rFonts w:hint="eastAsia" w:ascii="黑体" w:hAnsi="黑体" w:eastAsia="黑体" w:cs="黑体"/>
          <w:b/>
          <w:color w:val="auto"/>
          <w:sz w:val="24"/>
        </w:rPr>
      </w:pPr>
      <w:r>
        <w:rPr>
          <w:rFonts w:hint="eastAsia" w:ascii="黑体" w:hAnsi="黑体" w:eastAsia="黑体" w:cs="黑体"/>
          <w:b/>
          <w:color w:val="auto"/>
          <w:sz w:val="24"/>
        </w:rPr>
        <w:t>附件6</w:t>
      </w:r>
    </w:p>
    <w:p w14:paraId="421022C8">
      <w:pPr>
        <w:adjustRightInd w:val="0"/>
        <w:snapToGrid w:val="0"/>
        <w:spacing w:before="156" w:beforeLines="50" w:line="360" w:lineRule="auto"/>
        <w:jc w:val="center"/>
        <w:rPr>
          <w:rFonts w:ascii="微软雅黑" w:hAnsi="微软雅黑" w:eastAsia="微软雅黑" w:cs="微软雅黑"/>
          <w:color w:val="000000"/>
          <w:sz w:val="28"/>
          <w:szCs w:val="28"/>
        </w:rPr>
      </w:pPr>
      <w:r>
        <w:rPr>
          <w:rFonts w:hint="eastAsia" w:ascii="微软雅黑" w:hAnsi="微软雅黑" w:eastAsia="微软雅黑" w:cs="微软雅黑"/>
          <w:b/>
          <w:color w:val="000000"/>
          <w:sz w:val="28"/>
          <w:szCs w:val="28"/>
          <w:lang w:val="en-US" w:eastAsia="zh-CN"/>
        </w:rPr>
        <w:t>报价</w:t>
      </w:r>
      <w:r>
        <w:rPr>
          <w:rFonts w:hint="eastAsia" w:ascii="微软雅黑" w:hAnsi="微软雅黑" w:eastAsia="微软雅黑" w:cs="微软雅黑"/>
          <w:b/>
          <w:color w:val="000000"/>
          <w:sz w:val="28"/>
          <w:szCs w:val="28"/>
        </w:rPr>
        <w:t>一览表</w:t>
      </w:r>
    </w:p>
    <w:p w14:paraId="7793E751">
      <w:pPr>
        <w:adjustRightInd w:val="0"/>
        <w:snapToGrid w:val="0"/>
        <w:spacing w:line="420" w:lineRule="exact"/>
        <w:ind w:left="-88" w:leftChars="-42"/>
        <w:rPr>
          <w:rFonts w:ascii="宋体" w:hAnsi="宋体"/>
          <w:color w:val="000000"/>
          <w:szCs w:val="21"/>
        </w:rPr>
      </w:pPr>
      <w:r>
        <w:rPr>
          <w:rFonts w:hint="eastAsia" w:ascii="宋体" w:hAnsi="宋体"/>
          <w:color w:val="000000"/>
          <w:szCs w:val="21"/>
        </w:rPr>
        <w:t xml:space="preserve">                                                               金额单位：人民币元</w:t>
      </w:r>
    </w:p>
    <w:tbl>
      <w:tblPr>
        <w:tblStyle w:val="19"/>
        <w:tblW w:w="87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1"/>
        <w:gridCol w:w="3327"/>
        <w:gridCol w:w="2688"/>
        <w:gridCol w:w="1417"/>
      </w:tblGrid>
      <w:tr w14:paraId="66985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2AAE3D4B">
            <w:pPr>
              <w:adjustRightInd w:val="0"/>
              <w:snapToGrid w:val="0"/>
              <w:ind w:left="-88" w:leftChars="-42"/>
              <w:jc w:val="center"/>
              <w:rPr>
                <w:rFonts w:ascii="宋体" w:hAnsi="宋体" w:cs="宋体"/>
                <w:b/>
                <w:bCs/>
                <w:color w:val="000000"/>
                <w:sz w:val="24"/>
              </w:rPr>
            </w:pPr>
            <w:r>
              <w:rPr>
                <w:rFonts w:hint="eastAsia" w:ascii="宋体" w:hAnsi="宋体" w:cs="宋体"/>
                <w:b/>
                <w:bCs/>
                <w:color w:val="000000"/>
                <w:sz w:val="24"/>
              </w:rPr>
              <w:t>序号</w:t>
            </w:r>
          </w:p>
        </w:tc>
        <w:tc>
          <w:tcPr>
            <w:tcW w:w="3327" w:type="dxa"/>
            <w:tcBorders>
              <w:top w:val="single" w:color="auto" w:sz="4" w:space="0"/>
              <w:left w:val="single" w:color="auto" w:sz="4" w:space="0"/>
              <w:bottom w:val="single" w:color="auto" w:sz="4" w:space="0"/>
              <w:right w:val="single" w:color="auto" w:sz="4" w:space="0"/>
            </w:tcBorders>
            <w:vAlign w:val="center"/>
          </w:tcPr>
          <w:p w14:paraId="7D7852C0">
            <w:pPr>
              <w:adjustRightInd w:val="0"/>
              <w:snapToGrid w:val="0"/>
              <w:ind w:left="-88" w:leftChars="-42"/>
              <w:jc w:val="center"/>
              <w:rPr>
                <w:rFonts w:ascii="宋体" w:hAnsi="宋体" w:cs="宋体"/>
                <w:b/>
                <w:bCs/>
                <w:color w:val="000000"/>
                <w:sz w:val="24"/>
              </w:rPr>
            </w:pPr>
            <w:r>
              <w:rPr>
                <w:rFonts w:hint="eastAsia" w:ascii="宋体" w:hAnsi="宋体" w:cs="宋体"/>
                <w:b/>
                <w:bCs/>
                <w:color w:val="000000"/>
                <w:sz w:val="24"/>
                <w:lang w:val="en-US" w:eastAsia="zh-CN"/>
              </w:rPr>
              <w:t>项目</w:t>
            </w:r>
            <w:r>
              <w:rPr>
                <w:rFonts w:hint="eastAsia" w:ascii="宋体" w:hAnsi="宋体" w:cs="宋体"/>
                <w:b/>
                <w:bCs/>
                <w:color w:val="000000"/>
                <w:sz w:val="24"/>
              </w:rPr>
              <w:t>名称</w:t>
            </w:r>
          </w:p>
        </w:tc>
        <w:tc>
          <w:tcPr>
            <w:tcW w:w="2688" w:type="dxa"/>
            <w:tcBorders>
              <w:top w:val="single" w:color="auto" w:sz="4" w:space="0"/>
              <w:left w:val="single" w:color="auto" w:sz="4" w:space="0"/>
              <w:bottom w:val="nil"/>
              <w:right w:val="single" w:color="auto" w:sz="4" w:space="0"/>
            </w:tcBorders>
            <w:vAlign w:val="center"/>
          </w:tcPr>
          <w:p w14:paraId="329D852C">
            <w:pPr>
              <w:adjustRightInd w:val="0"/>
              <w:snapToGrid w:val="0"/>
              <w:ind w:left="-88" w:leftChars="-42"/>
              <w:jc w:val="center"/>
              <w:rPr>
                <w:rFonts w:hint="eastAsia" w:ascii="宋体" w:hAnsi="宋体" w:eastAsia="宋体" w:cs="宋体"/>
                <w:b/>
                <w:bCs/>
                <w:color w:val="000000"/>
                <w:sz w:val="24"/>
                <w:lang w:eastAsia="zh-CN"/>
              </w:rPr>
            </w:pPr>
            <w:r>
              <w:rPr>
                <w:rFonts w:hint="eastAsia" w:ascii="宋体" w:hAnsi="宋体" w:cs="宋体"/>
                <w:b/>
                <w:bCs/>
                <w:color w:val="000000"/>
                <w:sz w:val="24"/>
                <w:lang w:val="en-US" w:eastAsia="zh-CN"/>
              </w:rPr>
              <w:t>报价</w:t>
            </w:r>
          </w:p>
        </w:tc>
        <w:tc>
          <w:tcPr>
            <w:tcW w:w="1417" w:type="dxa"/>
            <w:tcBorders>
              <w:top w:val="single" w:color="auto" w:sz="4" w:space="0"/>
              <w:left w:val="single" w:color="auto" w:sz="4" w:space="0"/>
              <w:bottom w:val="nil"/>
              <w:right w:val="single" w:color="auto" w:sz="4" w:space="0"/>
            </w:tcBorders>
            <w:vAlign w:val="center"/>
          </w:tcPr>
          <w:p w14:paraId="2D4F5CB2">
            <w:pPr>
              <w:adjustRightInd w:val="0"/>
              <w:snapToGrid w:val="0"/>
              <w:jc w:val="center"/>
              <w:rPr>
                <w:rFonts w:ascii="宋体" w:hAnsi="宋体" w:cs="宋体"/>
                <w:b/>
                <w:bCs/>
                <w:color w:val="000000"/>
                <w:sz w:val="24"/>
              </w:rPr>
            </w:pPr>
            <w:r>
              <w:rPr>
                <w:rFonts w:hint="eastAsia" w:ascii="宋体" w:hAnsi="宋体" w:cs="宋体"/>
                <w:b/>
                <w:bCs/>
                <w:color w:val="000000"/>
                <w:sz w:val="24"/>
              </w:rPr>
              <w:t>备注</w:t>
            </w:r>
          </w:p>
        </w:tc>
      </w:tr>
      <w:tr w14:paraId="33ED6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45E9691E">
            <w:pPr>
              <w:adjustRightInd w:val="0"/>
              <w:snapToGrid w:val="0"/>
              <w:ind w:left="-88" w:leftChars="-42"/>
              <w:jc w:val="center"/>
              <w:rPr>
                <w:rFonts w:ascii="宋体" w:hAnsi="宋体" w:cs="宋体"/>
                <w:color w:val="000000"/>
                <w:sz w:val="24"/>
              </w:rPr>
            </w:pPr>
            <w:r>
              <w:rPr>
                <w:rFonts w:hint="eastAsia" w:ascii="宋体" w:hAnsi="宋体" w:cs="宋体"/>
                <w:color w:val="000000"/>
                <w:sz w:val="24"/>
              </w:rPr>
              <w:t>1</w:t>
            </w:r>
          </w:p>
        </w:tc>
        <w:tc>
          <w:tcPr>
            <w:tcW w:w="3327" w:type="dxa"/>
            <w:tcBorders>
              <w:top w:val="single" w:color="auto" w:sz="4" w:space="0"/>
              <w:left w:val="single" w:color="auto" w:sz="4" w:space="0"/>
              <w:bottom w:val="single" w:color="auto" w:sz="4" w:space="0"/>
              <w:right w:val="single" w:color="auto" w:sz="4" w:space="0"/>
            </w:tcBorders>
            <w:vAlign w:val="center"/>
          </w:tcPr>
          <w:p w14:paraId="661FEF56">
            <w:pPr>
              <w:adjustRightInd w:val="0"/>
              <w:snapToGrid w:val="0"/>
              <w:ind w:left="-88" w:leftChars="-42"/>
              <w:jc w:val="center"/>
              <w:rPr>
                <w:rFonts w:ascii="宋体" w:hAnsi="宋体" w:cs="宋体"/>
                <w:color w:val="000000"/>
                <w:sz w:val="24"/>
              </w:rPr>
            </w:pPr>
          </w:p>
        </w:tc>
        <w:tc>
          <w:tcPr>
            <w:tcW w:w="2688" w:type="dxa"/>
            <w:tcBorders>
              <w:top w:val="single" w:color="auto" w:sz="4" w:space="0"/>
              <w:left w:val="single" w:color="auto" w:sz="4" w:space="0"/>
              <w:bottom w:val="single" w:color="auto" w:sz="4" w:space="0"/>
              <w:right w:val="single" w:color="auto" w:sz="4" w:space="0"/>
            </w:tcBorders>
            <w:vAlign w:val="center"/>
          </w:tcPr>
          <w:p w14:paraId="11102469">
            <w:pPr>
              <w:adjustRightInd w:val="0"/>
              <w:snapToGrid w:val="0"/>
              <w:ind w:left="-88" w:leftChars="-42"/>
              <w:jc w:val="center"/>
              <w:rPr>
                <w:rFonts w:ascii="宋体" w:hAnsi="宋体" w:cs="宋体"/>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205B9492">
            <w:pPr>
              <w:adjustRightInd w:val="0"/>
              <w:snapToGrid w:val="0"/>
              <w:ind w:left="-88" w:leftChars="-42"/>
              <w:jc w:val="center"/>
              <w:rPr>
                <w:rFonts w:ascii="宋体" w:hAnsi="宋体" w:cs="宋体"/>
                <w:color w:val="000000"/>
                <w:sz w:val="24"/>
              </w:rPr>
            </w:pPr>
          </w:p>
        </w:tc>
      </w:tr>
      <w:tr w14:paraId="08C7D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8733" w:type="dxa"/>
            <w:gridSpan w:val="4"/>
            <w:tcBorders>
              <w:top w:val="single" w:color="auto" w:sz="4" w:space="0"/>
              <w:left w:val="single" w:color="auto" w:sz="4" w:space="0"/>
              <w:bottom w:val="single" w:color="auto" w:sz="4" w:space="0"/>
              <w:right w:val="single" w:color="auto" w:sz="4" w:space="0"/>
            </w:tcBorders>
            <w:vAlign w:val="center"/>
          </w:tcPr>
          <w:p w14:paraId="1272AF32">
            <w:pPr>
              <w:adjustRightInd w:val="0"/>
              <w:snapToGrid w:val="0"/>
              <w:ind w:left="-88" w:leftChars="-42"/>
              <w:rPr>
                <w:rFonts w:ascii="宋体" w:hAnsi="宋体" w:cs="宋体"/>
                <w:color w:val="000000"/>
                <w:sz w:val="24"/>
              </w:rPr>
            </w:pPr>
            <w:r>
              <w:rPr>
                <w:rFonts w:hint="eastAsia"/>
                <w:b/>
                <w:color w:val="000000"/>
                <w:sz w:val="22"/>
              </w:rPr>
              <w:t xml:space="preserve">注：报价不得超过最高限价 </w:t>
            </w:r>
          </w:p>
        </w:tc>
      </w:tr>
    </w:tbl>
    <w:p w14:paraId="394CF54D">
      <w:pPr>
        <w:pStyle w:val="17"/>
        <w:ind w:firstLine="210"/>
        <w:rPr>
          <w:rFonts w:hint="eastAsia"/>
          <w:color w:val="auto"/>
        </w:rPr>
      </w:pPr>
    </w:p>
    <w:p w14:paraId="4EFEFDBB">
      <w:pPr>
        <w:pStyle w:val="17"/>
        <w:ind w:firstLine="210"/>
        <w:rPr>
          <w:rFonts w:hint="eastAsia" w:ascii="宋体" w:hAnsi="宋体"/>
          <w:color w:val="auto"/>
          <w:szCs w:val="21"/>
        </w:rPr>
      </w:pPr>
    </w:p>
    <w:p w14:paraId="5968A117">
      <w:pPr>
        <w:rPr>
          <w:rFonts w:hint="eastAsia" w:ascii="宋体" w:hAnsi="宋体"/>
          <w:color w:val="auto"/>
          <w:szCs w:val="21"/>
        </w:rPr>
      </w:pPr>
    </w:p>
    <w:p w14:paraId="46B9200E">
      <w:pPr>
        <w:pStyle w:val="17"/>
        <w:ind w:firstLine="210"/>
        <w:rPr>
          <w:rFonts w:hint="eastAsia" w:ascii="宋体" w:hAnsi="宋体"/>
          <w:color w:val="auto"/>
          <w:szCs w:val="21"/>
        </w:rPr>
      </w:pPr>
    </w:p>
    <w:p w14:paraId="1F47A7F2">
      <w:pPr>
        <w:adjustRightInd w:val="0"/>
        <w:snapToGrid w:val="0"/>
        <w:spacing w:line="420" w:lineRule="exact"/>
        <w:rPr>
          <w:rFonts w:hint="eastAsia" w:ascii="宋体" w:hAnsi="宋体" w:cs="宋体"/>
          <w:color w:val="auto"/>
        </w:rPr>
      </w:pPr>
    </w:p>
    <w:p w14:paraId="16766085">
      <w:pPr>
        <w:adjustRightInd w:val="0"/>
        <w:snapToGrid w:val="0"/>
        <w:spacing w:line="360" w:lineRule="auto"/>
        <w:ind w:right="23" w:rightChars="11" w:firstLine="480" w:firstLineChars="200"/>
        <w:rPr>
          <w:rFonts w:hint="eastAsia" w:ascii="宋体" w:hAnsi="宋体" w:cs="宋体"/>
          <w:color w:val="auto"/>
          <w:sz w:val="24"/>
        </w:rPr>
      </w:pPr>
      <w:r>
        <w:rPr>
          <w:rFonts w:hint="eastAsia" w:ascii="宋体" w:hAnsi="宋体" w:cs="宋体"/>
          <w:color w:val="auto"/>
          <w:sz w:val="24"/>
        </w:rPr>
        <w:t>投标人（盖单位公章）：</w:t>
      </w:r>
    </w:p>
    <w:p w14:paraId="29C9F101">
      <w:pPr>
        <w:adjustRightInd w:val="0"/>
        <w:snapToGrid w:val="0"/>
        <w:spacing w:line="360" w:lineRule="auto"/>
        <w:ind w:right="23" w:rightChars="11" w:firstLine="480" w:firstLineChars="200"/>
        <w:rPr>
          <w:rFonts w:hint="eastAsia" w:ascii="宋体" w:hAnsi="宋体" w:cs="宋体"/>
          <w:color w:val="auto"/>
          <w:sz w:val="24"/>
        </w:rPr>
      </w:pPr>
      <w:r>
        <w:rPr>
          <w:rFonts w:hint="eastAsia" w:ascii="宋体" w:hAnsi="宋体" w:cs="宋体"/>
          <w:color w:val="auto"/>
          <w:sz w:val="24"/>
        </w:rPr>
        <w:t>法定代表人或其委托代理人签字：</w:t>
      </w:r>
      <w:r>
        <w:rPr>
          <w:rFonts w:hint="eastAsia" w:ascii="宋体" w:hAnsi="宋体" w:cs="宋体"/>
          <w:color w:val="auto"/>
          <w:sz w:val="24"/>
          <w:u w:val="single"/>
        </w:rPr>
        <w:t xml:space="preserve">            </w:t>
      </w:r>
    </w:p>
    <w:p w14:paraId="28372104">
      <w:pPr>
        <w:adjustRightInd w:val="0"/>
        <w:snapToGrid w:val="0"/>
        <w:spacing w:line="360" w:lineRule="auto"/>
        <w:ind w:right="23" w:rightChars="11" w:firstLine="480" w:firstLineChars="200"/>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F2A68FF">
      <w:pPr>
        <w:pStyle w:val="17"/>
        <w:ind w:firstLine="240"/>
        <w:rPr>
          <w:rFonts w:hint="eastAsia" w:ascii="宋体" w:hAnsi="宋体" w:cs="宋体"/>
          <w:color w:val="auto"/>
          <w:sz w:val="24"/>
        </w:rPr>
      </w:pPr>
    </w:p>
    <w:p w14:paraId="2900A4FC">
      <w:pPr>
        <w:rPr>
          <w:rFonts w:hint="eastAsia" w:ascii="宋体" w:hAnsi="宋体" w:cs="宋体"/>
          <w:color w:val="auto"/>
          <w:sz w:val="24"/>
        </w:rPr>
      </w:pPr>
    </w:p>
    <w:p w14:paraId="1547294D">
      <w:pPr>
        <w:pStyle w:val="17"/>
        <w:ind w:firstLine="240"/>
        <w:rPr>
          <w:rFonts w:hint="eastAsia" w:ascii="宋体" w:hAnsi="宋体" w:cs="宋体"/>
          <w:color w:val="auto"/>
          <w:sz w:val="24"/>
        </w:rPr>
      </w:pPr>
    </w:p>
    <w:p w14:paraId="26FA36B6">
      <w:pPr>
        <w:rPr>
          <w:rFonts w:hint="eastAsia" w:ascii="宋体" w:hAnsi="宋体" w:cs="宋体"/>
          <w:color w:val="auto"/>
          <w:sz w:val="24"/>
        </w:rPr>
      </w:pPr>
    </w:p>
    <w:p w14:paraId="3B5374BE">
      <w:pPr>
        <w:pStyle w:val="17"/>
        <w:ind w:firstLine="240"/>
        <w:rPr>
          <w:rFonts w:hint="eastAsia" w:ascii="宋体" w:hAnsi="宋体" w:cs="宋体"/>
          <w:color w:val="auto"/>
          <w:sz w:val="24"/>
        </w:rPr>
      </w:pPr>
    </w:p>
    <w:p w14:paraId="756A1CB3">
      <w:pPr>
        <w:rPr>
          <w:rFonts w:hint="eastAsia" w:ascii="宋体" w:hAnsi="宋体" w:cs="宋体"/>
          <w:color w:val="auto"/>
          <w:sz w:val="24"/>
        </w:rPr>
      </w:pPr>
    </w:p>
    <w:p w14:paraId="1CF7F2D0">
      <w:pPr>
        <w:pStyle w:val="17"/>
        <w:ind w:firstLine="240"/>
        <w:rPr>
          <w:rFonts w:hint="eastAsia" w:ascii="宋体" w:hAnsi="宋体" w:cs="宋体"/>
          <w:color w:val="auto"/>
          <w:sz w:val="24"/>
        </w:rPr>
      </w:pPr>
    </w:p>
    <w:p w14:paraId="4F682747">
      <w:pPr>
        <w:rPr>
          <w:rFonts w:hint="eastAsia" w:ascii="宋体" w:hAnsi="宋体" w:cs="宋体"/>
          <w:color w:val="auto"/>
          <w:sz w:val="24"/>
        </w:rPr>
      </w:pPr>
    </w:p>
    <w:p w14:paraId="582F4EF5">
      <w:pPr>
        <w:pStyle w:val="17"/>
        <w:ind w:firstLine="240"/>
        <w:rPr>
          <w:rFonts w:hint="eastAsia" w:ascii="宋体" w:hAnsi="宋体" w:cs="宋体"/>
          <w:color w:val="auto"/>
          <w:sz w:val="24"/>
        </w:rPr>
      </w:pPr>
    </w:p>
    <w:p w14:paraId="31D1A2FD">
      <w:pPr>
        <w:rPr>
          <w:rFonts w:hint="eastAsia" w:ascii="宋体" w:hAnsi="宋体" w:cs="宋体"/>
          <w:color w:val="auto"/>
          <w:sz w:val="24"/>
        </w:rPr>
      </w:pPr>
    </w:p>
    <w:p w14:paraId="68619C74">
      <w:pPr>
        <w:widowControl/>
        <w:spacing w:before="124" w:beforeLines="40" w:after="124" w:afterLines="40" w:line="375" w:lineRule="atLeast"/>
        <w:jc w:val="left"/>
        <w:rPr>
          <w:rFonts w:hint="eastAsia" w:ascii="黑体" w:hAnsi="黑体" w:eastAsia="黑体" w:cs="黑体"/>
          <w:b/>
          <w:color w:val="auto"/>
          <w:kern w:val="0"/>
          <w:sz w:val="24"/>
        </w:rPr>
      </w:pPr>
    </w:p>
    <w:p w14:paraId="458B5F8F">
      <w:pPr>
        <w:pStyle w:val="17"/>
        <w:rPr>
          <w:rFonts w:hint="eastAsia" w:ascii="黑体" w:hAnsi="黑体" w:eastAsia="黑体" w:cs="黑体"/>
          <w:b/>
          <w:color w:val="auto"/>
          <w:kern w:val="0"/>
          <w:sz w:val="24"/>
        </w:rPr>
      </w:pPr>
    </w:p>
    <w:p w14:paraId="4121DE0B">
      <w:pPr>
        <w:rPr>
          <w:rFonts w:hint="eastAsia"/>
          <w:color w:val="auto"/>
        </w:rPr>
      </w:pPr>
    </w:p>
    <w:p w14:paraId="66875C02">
      <w:pPr>
        <w:pStyle w:val="17"/>
        <w:rPr>
          <w:rFonts w:hint="eastAsia"/>
          <w:color w:val="auto"/>
        </w:rPr>
      </w:pPr>
    </w:p>
    <w:p w14:paraId="2201E1A1">
      <w:pPr>
        <w:adjustRightInd w:val="0"/>
        <w:snapToGrid w:val="0"/>
        <w:spacing w:line="360" w:lineRule="auto"/>
        <w:rPr>
          <w:rFonts w:hint="eastAsia" w:ascii="黑体" w:hAnsi="黑体" w:eastAsia="黑体" w:cs="黑体"/>
          <w:b/>
          <w:color w:val="auto"/>
          <w:sz w:val="24"/>
        </w:rPr>
      </w:pPr>
      <w:r>
        <w:rPr>
          <w:rFonts w:hint="eastAsia" w:ascii="黑体" w:hAnsi="黑体" w:eastAsia="黑体" w:cs="黑体"/>
          <w:b/>
          <w:color w:val="auto"/>
          <w:sz w:val="24"/>
        </w:rPr>
        <w:t>附件7</w:t>
      </w:r>
    </w:p>
    <w:p w14:paraId="343F9A17">
      <w:pPr>
        <w:adjustRightInd w:val="0"/>
        <w:snapToGrid w:val="0"/>
        <w:spacing w:before="156" w:beforeLines="50" w:line="360" w:lineRule="auto"/>
        <w:jc w:val="center"/>
        <w:rPr>
          <w:rFonts w:ascii="微软雅黑" w:hAnsi="微软雅黑" w:eastAsia="微软雅黑" w:cs="微软雅黑"/>
          <w:color w:val="auto"/>
          <w:sz w:val="28"/>
          <w:szCs w:val="28"/>
        </w:rPr>
      </w:pPr>
      <w:r>
        <w:rPr>
          <w:rFonts w:hint="eastAsia" w:ascii="微软雅黑" w:hAnsi="微软雅黑" w:eastAsia="微软雅黑" w:cs="微软雅黑"/>
          <w:b/>
          <w:color w:val="auto"/>
          <w:sz w:val="28"/>
          <w:szCs w:val="28"/>
        </w:rPr>
        <w:t>服务方案</w:t>
      </w:r>
    </w:p>
    <w:p w14:paraId="7E16D5FA">
      <w:pPr>
        <w:adjustRightInd w:val="0"/>
        <w:snapToGrid w:val="0"/>
        <w:jc w:val="center"/>
        <w:rPr>
          <w:rFonts w:ascii="宋体" w:hAnsi="宋体" w:cs="宋体"/>
          <w:b/>
          <w:color w:val="auto"/>
          <w:sz w:val="30"/>
          <w:szCs w:val="30"/>
        </w:rPr>
      </w:pPr>
      <w:r>
        <w:rPr>
          <w:rFonts w:hint="eastAsia" w:ascii="宋体" w:hAnsi="宋体" w:cs="宋体"/>
          <w:b/>
          <w:color w:val="auto"/>
          <w:sz w:val="30"/>
          <w:szCs w:val="30"/>
        </w:rPr>
        <w:t>服务方案说明</w:t>
      </w:r>
    </w:p>
    <w:p w14:paraId="6715AD2A">
      <w:pPr>
        <w:adjustRightInd w:val="0"/>
        <w:snapToGrid w:val="0"/>
        <w:rPr>
          <w:rFonts w:ascii="宋体" w:hAnsi="宋体" w:cs="宋体"/>
          <w:color w:val="auto"/>
          <w:szCs w:val="21"/>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94"/>
      </w:tblGrid>
      <w:tr w14:paraId="74205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8494" w:type="dxa"/>
            <w:noWrap w:val="0"/>
            <w:vAlign w:val="top"/>
          </w:tcPr>
          <w:p w14:paraId="70F8EB72">
            <w:pPr>
              <w:spacing w:line="520" w:lineRule="exact"/>
              <w:ind w:firstLine="481"/>
              <w:jc w:val="center"/>
              <w:rPr>
                <w:rFonts w:ascii="宋体" w:hAnsi="宋体" w:cs="宋体"/>
                <w:color w:val="auto"/>
                <w:szCs w:val="21"/>
              </w:rPr>
            </w:pPr>
            <w:r>
              <w:rPr>
                <w:rFonts w:hint="eastAsia" w:ascii="宋体" w:hAnsi="宋体" w:cs="宋体"/>
                <w:color w:val="auto"/>
                <w:szCs w:val="21"/>
              </w:rPr>
              <w:t>格式自拟。</w:t>
            </w:r>
          </w:p>
          <w:p w14:paraId="5B3F88FA">
            <w:pPr>
              <w:spacing w:line="520" w:lineRule="exact"/>
              <w:ind w:firstLine="480"/>
              <w:rPr>
                <w:rFonts w:ascii="宋体" w:hAnsi="宋体" w:cs="宋体"/>
                <w:color w:val="auto"/>
                <w:szCs w:val="21"/>
              </w:rPr>
            </w:pPr>
          </w:p>
        </w:tc>
      </w:tr>
    </w:tbl>
    <w:p w14:paraId="05EE0210">
      <w:pPr>
        <w:adjustRightInd w:val="0"/>
        <w:snapToGrid w:val="0"/>
        <w:spacing w:line="360" w:lineRule="auto"/>
        <w:ind w:firstLine="420" w:firstLineChars="200"/>
        <w:rPr>
          <w:rFonts w:ascii="宋体" w:hAnsi="宋体"/>
          <w:bCs/>
          <w:color w:val="auto"/>
          <w:szCs w:val="21"/>
        </w:rPr>
      </w:pPr>
      <w:r>
        <w:rPr>
          <w:rFonts w:hint="eastAsia" w:ascii="宋体" w:hAnsi="宋体"/>
          <w:color w:val="auto"/>
          <w:szCs w:val="21"/>
        </w:rPr>
        <w:t xml:space="preserve">各投标人根据采购人的需求和项目具体内容并结合评分要求及自身情况制定服务方案。                     </w:t>
      </w:r>
    </w:p>
    <w:p w14:paraId="5B278AEE">
      <w:pPr>
        <w:adjustRightInd w:val="0"/>
        <w:snapToGrid w:val="0"/>
        <w:spacing w:line="360" w:lineRule="auto"/>
        <w:rPr>
          <w:rFonts w:ascii="宋体" w:hAnsi="宋体"/>
          <w:bCs/>
          <w:color w:val="auto"/>
          <w:szCs w:val="21"/>
        </w:rPr>
      </w:pPr>
    </w:p>
    <w:p w14:paraId="60E9421A">
      <w:pPr>
        <w:adjustRightInd w:val="0"/>
        <w:snapToGrid w:val="0"/>
        <w:spacing w:line="360" w:lineRule="auto"/>
        <w:rPr>
          <w:rFonts w:ascii="宋体" w:hAnsi="宋体"/>
          <w:bCs/>
          <w:color w:val="auto"/>
          <w:szCs w:val="21"/>
        </w:rPr>
      </w:pPr>
    </w:p>
    <w:p w14:paraId="262DD2FE">
      <w:pPr>
        <w:adjustRightInd w:val="0"/>
        <w:snapToGrid w:val="0"/>
        <w:spacing w:line="360" w:lineRule="auto"/>
        <w:ind w:right="23" w:rightChars="11"/>
        <w:rPr>
          <w:rFonts w:ascii="宋体" w:hAnsi="宋体" w:cs="宋体"/>
          <w:color w:val="auto"/>
        </w:rPr>
      </w:pPr>
    </w:p>
    <w:p w14:paraId="34DB80BA">
      <w:pPr>
        <w:adjustRightInd w:val="0"/>
        <w:snapToGrid w:val="0"/>
        <w:spacing w:line="360" w:lineRule="auto"/>
        <w:ind w:right="23" w:rightChars="11" w:firstLine="480" w:firstLineChars="200"/>
        <w:rPr>
          <w:rFonts w:ascii="宋体" w:hAnsi="宋体" w:cs="宋体"/>
          <w:color w:val="auto"/>
          <w:sz w:val="24"/>
        </w:rPr>
      </w:pPr>
      <w:r>
        <w:rPr>
          <w:rFonts w:hint="eastAsia" w:ascii="宋体" w:hAnsi="宋体" w:cs="宋体"/>
          <w:color w:val="auto"/>
          <w:sz w:val="24"/>
        </w:rPr>
        <w:t>投标人（盖单位公章）：</w:t>
      </w:r>
    </w:p>
    <w:p w14:paraId="1EE4444E">
      <w:pPr>
        <w:adjustRightInd w:val="0"/>
        <w:snapToGrid w:val="0"/>
        <w:spacing w:line="360" w:lineRule="auto"/>
        <w:ind w:right="23" w:rightChars="11" w:firstLine="480" w:firstLineChars="200"/>
        <w:rPr>
          <w:rFonts w:ascii="宋体" w:hAnsi="宋体" w:cs="宋体"/>
          <w:color w:val="auto"/>
          <w:sz w:val="24"/>
        </w:rPr>
      </w:pPr>
      <w:r>
        <w:rPr>
          <w:rFonts w:hint="eastAsia" w:ascii="宋体" w:hAnsi="宋体" w:cs="宋体"/>
          <w:color w:val="auto"/>
          <w:sz w:val="24"/>
        </w:rPr>
        <w:t>法定代表人或其委托代理人签字：</w:t>
      </w:r>
      <w:r>
        <w:rPr>
          <w:rFonts w:hint="eastAsia" w:ascii="宋体" w:hAnsi="宋体" w:cs="宋体"/>
          <w:color w:val="auto"/>
          <w:sz w:val="24"/>
          <w:u w:val="single"/>
        </w:rPr>
        <w:t xml:space="preserve">            </w:t>
      </w:r>
    </w:p>
    <w:p w14:paraId="3A78F796">
      <w:pPr>
        <w:adjustRightInd w:val="0"/>
        <w:snapToGrid w:val="0"/>
        <w:spacing w:line="360" w:lineRule="auto"/>
        <w:ind w:right="23" w:rightChars="11" w:firstLine="480" w:firstLineChars="200"/>
        <w:rPr>
          <w:rFonts w:ascii="宋体" w:hAnsi="宋体" w:cs="宋体"/>
          <w:bCs/>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0B48912">
      <w:pPr>
        <w:adjustRightInd w:val="0"/>
        <w:snapToGrid w:val="0"/>
        <w:spacing w:line="360" w:lineRule="auto"/>
        <w:rPr>
          <w:rFonts w:hint="eastAsia" w:ascii="宋体" w:hAnsi="宋体"/>
          <w:bCs/>
          <w:color w:val="auto"/>
          <w:szCs w:val="21"/>
        </w:rPr>
      </w:pPr>
    </w:p>
    <w:p w14:paraId="369C176E">
      <w:pPr>
        <w:rPr>
          <w:rFonts w:hint="eastAsia"/>
          <w:color w:val="auto"/>
        </w:rPr>
      </w:pPr>
    </w:p>
    <w:p w14:paraId="68120D5F">
      <w:pPr>
        <w:pStyle w:val="17"/>
        <w:rPr>
          <w:rFonts w:hint="eastAsia"/>
          <w:color w:val="auto"/>
        </w:rPr>
      </w:pPr>
    </w:p>
    <w:p w14:paraId="2514BE8C">
      <w:pPr>
        <w:rPr>
          <w:rFonts w:hint="eastAsia"/>
          <w:color w:val="auto"/>
        </w:rPr>
      </w:pPr>
    </w:p>
    <w:p w14:paraId="355A4653">
      <w:pPr>
        <w:pStyle w:val="17"/>
        <w:rPr>
          <w:rFonts w:hint="eastAsia"/>
          <w:color w:val="auto"/>
        </w:rPr>
      </w:pPr>
    </w:p>
    <w:p w14:paraId="1F67AFCA">
      <w:pPr>
        <w:rPr>
          <w:rFonts w:hint="eastAsia"/>
          <w:color w:val="auto"/>
        </w:rPr>
      </w:pPr>
    </w:p>
    <w:p w14:paraId="0D4678B2">
      <w:pPr>
        <w:pStyle w:val="17"/>
        <w:rPr>
          <w:rFonts w:hint="eastAsia"/>
          <w:color w:val="auto"/>
        </w:rPr>
      </w:pPr>
    </w:p>
    <w:p w14:paraId="6D80061D">
      <w:pPr>
        <w:rPr>
          <w:rFonts w:hint="eastAsia"/>
          <w:color w:val="auto"/>
        </w:rPr>
      </w:pPr>
    </w:p>
    <w:p w14:paraId="5D835A16">
      <w:pPr>
        <w:pStyle w:val="17"/>
        <w:rPr>
          <w:rFonts w:hint="eastAsia"/>
          <w:color w:val="auto"/>
        </w:rPr>
      </w:pPr>
    </w:p>
    <w:p w14:paraId="72F8BA3D">
      <w:pPr>
        <w:rPr>
          <w:rFonts w:hint="eastAsia"/>
          <w:color w:val="auto"/>
        </w:rPr>
      </w:pPr>
    </w:p>
    <w:p w14:paraId="6193134A">
      <w:pPr>
        <w:pStyle w:val="17"/>
        <w:rPr>
          <w:rFonts w:hint="eastAsia"/>
          <w:color w:val="auto"/>
        </w:rPr>
      </w:pPr>
    </w:p>
    <w:p w14:paraId="05D67FA0">
      <w:pPr>
        <w:rPr>
          <w:rFonts w:hint="eastAsia"/>
          <w:color w:val="auto"/>
        </w:rPr>
      </w:pPr>
    </w:p>
    <w:p w14:paraId="472B314E">
      <w:pPr>
        <w:pStyle w:val="17"/>
        <w:rPr>
          <w:rFonts w:hint="eastAsia"/>
          <w:color w:val="auto"/>
        </w:rPr>
      </w:pPr>
    </w:p>
    <w:p w14:paraId="11B78305">
      <w:pPr>
        <w:adjustRightInd w:val="0"/>
        <w:snapToGrid w:val="0"/>
        <w:spacing w:line="360" w:lineRule="auto"/>
        <w:rPr>
          <w:rFonts w:hint="eastAsia" w:ascii="宋体" w:hAnsi="宋体" w:cs="宋体"/>
          <w:b/>
          <w:bCs/>
          <w:color w:val="auto"/>
          <w:sz w:val="28"/>
          <w:szCs w:val="28"/>
        </w:rPr>
      </w:pPr>
      <w:r>
        <w:rPr>
          <w:rFonts w:hint="eastAsia" w:ascii="黑体" w:hAnsi="黑体" w:eastAsia="黑体" w:cs="黑体"/>
          <w:b/>
          <w:color w:val="auto"/>
          <w:sz w:val="24"/>
        </w:rPr>
        <w:t>附件8 比选投标单位基本情况</w:t>
      </w:r>
    </w:p>
    <w:tbl>
      <w:tblPr>
        <w:tblStyle w:val="19"/>
        <w:tblW w:w="0" w:type="auto"/>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7"/>
      </w:tblGrid>
      <w:tr w14:paraId="7B63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6" w:hRule="atLeast"/>
        </w:trPr>
        <w:tc>
          <w:tcPr>
            <w:tcW w:w="9137" w:type="dxa"/>
            <w:noWrap w:val="0"/>
            <w:vAlign w:val="top"/>
          </w:tcPr>
          <w:p w14:paraId="179D05C6">
            <w:pPr>
              <w:spacing w:line="360" w:lineRule="auto"/>
              <w:ind w:firstLine="640" w:firstLineChars="200"/>
              <w:rPr>
                <w:rFonts w:hint="eastAsia" w:ascii="仿宋_GB2312" w:eastAsia="仿宋_GB2312"/>
                <w:color w:val="auto"/>
                <w:sz w:val="32"/>
                <w:szCs w:val="32"/>
              </w:rPr>
            </w:pPr>
          </w:p>
        </w:tc>
      </w:tr>
    </w:tbl>
    <w:p w14:paraId="3F1A65E9">
      <w:pPr>
        <w:spacing w:line="360" w:lineRule="auto"/>
        <w:ind w:firstLine="640" w:firstLineChars="200"/>
        <w:rPr>
          <w:rFonts w:hint="eastAsia" w:ascii="仿宋_GB2312" w:eastAsia="仿宋_GB2312"/>
          <w:color w:val="auto"/>
          <w:sz w:val="32"/>
          <w:szCs w:val="32"/>
        </w:rPr>
      </w:pPr>
    </w:p>
    <w:p w14:paraId="16C029B0">
      <w:pPr>
        <w:spacing w:line="360" w:lineRule="auto"/>
        <w:ind w:firstLine="480" w:firstLineChars="200"/>
        <w:rPr>
          <w:rFonts w:hint="eastAsia" w:ascii="宋体" w:hAnsi="宋体" w:cs="宋体"/>
          <w:color w:val="auto"/>
          <w:sz w:val="24"/>
        </w:rPr>
      </w:pPr>
      <w:r>
        <w:rPr>
          <w:rFonts w:hint="eastAsia" w:ascii="宋体" w:hAnsi="宋体" w:cs="宋体"/>
          <w:color w:val="auto"/>
          <w:sz w:val="24"/>
        </w:rPr>
        <w:t>比选投标单位法定代表人或被授权人（签字）：</w:t>
      </w:r>
    </w:p>
    <w:p w14:paraId="07D94DD7">
      <w:pPr>
        <w:spacing w:line="360" w:lineRule="auto"/>
        <w:ind w:firstLine="480" w:firstLineChars="200"/>
        <w:rPr>
          <w:rFonts w:hint="eastAsia" w:ascii="宋体" w:hAnsi="宋体" w:cs="宋体"/>
          <w:color w:val="auto"/>
          <w:sz w:val="24"/>
        </w:rPr>
      </w:pPr>
    </w:p>
    <w:p w14:paraId="5FE0953D">
      <w:pPr>
        <w:spacing w:line="360" w:lineRule="auto"/>
        <w:ind w:firstLine="480" w:firstLineChars="200"/>
        <w:rPr>
          <w:rFonts w:hint="eastAsia" w:ascii="宋体" w:hAnsi="宋体" w:cs="宋体"/>
          <w:color w:val="auto"/>
          <w:sz w:val="24"/>
        </w:rPr>
      </w:pPr>
      <w:r>
        <w:rPr>
          <w:rFonts w:hint="eastAsia" w:ascii="宋体" w:hAnsi="宋体" w:cs="宋体"/>
          <w:color w:val="auto"/>
          <w:sz w:val="24"/>
        </w:rPr>
        <w:t>比选投标单位（盖章）：</w:t>
      </w:r>
    </w:p>
    <w:p w14:paraId="406BABA1">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                                      年    月    日</w:t>
      </w:r>
    </w:p>
    <w:p w14:paraId="065890F5">
      <w:pPr>
        <w:rPr>
          <w:rFonts w:hint="eastAsia"/>
          <w:color w:val="auto"/>
        </w:rPr>
      </w:pPr>
    </w:p>
    <w:p w14:paraId="33650776">
      <w:pPr>
        <w:widowControl/>
        <w:spacing w:before="124" w:beforeLines="40" w:after="124" w:afterLines="40" w:line="375" w:lineRule="atLeast"/>
        <w:jc w:val="left"/>
        <w:rPr>
          <w:rFonts w:hint="eastAsia" w:ascii="黑体" w:hAnsi="黑体" w:eastAsia="黑体" w:cs="黑体"/>
          <w:b/>
          <w:color w:val="auto"/>
          <w:kern w:val="0"/>
          <w:sz w:val="24"/>
        </w:rPr>
      </w:pPr>
    </w:p>
    <w:p w14:paraId="3637E621"/>
    <w:p w14:paraId="6F0AE692">
      <w:pPr>
        <w:rPr>
          <w:sz w:val="13"/>
          <w:szCs w:val="13"/>
        </w:rPr>
      </w:pPr>
    </w:p>
    <w:p w14:paraId="7AB44A8F">
      <w:pPr>
        <w:spacing w:line="500" w:lineRule="exact"/>
        <w:ind w:firstLine="482" w:firstLineChars="200"/>
        <w:rPr>
          <w:rFonts w:ascii="宋体" w:hAnsi="宋体" w:cs="宋体"/>
          <w:sz w:val="24"/>
        </w:rPr>
      </w:pPr>
      <w:r>
        <w:rPr>
          <w:rFonts w:hint="eastAsia" w:ascii="宋体" w:hAnsi="宋体" w:cs="宋体"/>
          <w:b/>
          <w:sz w:val="24"/>
        </w:rPr>
        <w:t>九、比选投标须知</w:t>
      </w:r>
    </w:p>
    <w:p w14:paraId="53A7B71D">
      <w:pPr>
        <w:spacing w:line="360" w:lineRule="auto"/>
        <w:ind w:firstLine="480" w:firstLineChars="200"/>
        <w:rPr>
          <w:rFonts w:ascii="宋体" w:hAnsi="宋体" w:cs="宋体"/>
          <w:sz w:val="24"/>
        </w:rPr>
      </w:pPr>
      <w:r>
        <w:rPr>
          <w:rFonts w:hint="eastAsia" w:ascii="宋体" w:hAnsi="宋体" w:cs="宋体"/>
          <w:sz w:val="24"/>
        </w:rPr>
        <w:t>（1）投标费用</w:t>
      </w:r>
    </w:p>
    <w:p w14:paraId="65C05CFD">
      <w:pPr>
        <w:spacing w:line="360" w:lineRule="auto"/>
        <w:ind w:firstLine="480" w:firstLineChars="200"/>
        <w:rPr>
          <w:rFonts w:ascii="宋体" w:hAnsi="宋体" w:cs="宋体"/>
          <w:sz w:val="24"/>
        </w:rPr>
      </w:pPr>
      <w:r>
        <w:rPr>
          <w:rFonts w:hint="eastAsia" w:ascii="宋体" w:hAnsi="宋体" w:cs="宋体"/>
          <w:sz w:val="24"/>
        </w:rPr>
        <w:t>投标人参加比选项目所产生的一切费用，不论其结果如何，概由投标人自理。</w:t>
      </w:r>
    </w:p>
    <w:p w14:paraId="0D666289">
      <w:pPr>
        <w:spacing w:line="360" w:lineRule="auto"/>
        <w:ind w:firstLine="480" w:firstLineChars="200"/>
        <w:rPr>
          <w:rFonts w:ascii="宋体" w:hAnsi="宋体" w:cs="宋体"/>
          <w:sz w:val="24"/>
        </w:rPr>
      </w:pPr>
      <w:r>
        <w:rPr>
          <w:rFonts w:hint="eastAsia" w:ascii="宋体" w:hAnsi="宋体" w:cs="宋体"/>
          <w:sz w:val="24"/>
        </w:rPr>
        <w:t>（2）投标单位应认真审阅比选文件。如果投标单位实质上不响应比选招标文件的要求，将被视为不合格投标人。</w:t>
      </w:r>
    </w:p>
    <w:p w14:paraId="068032B2">
      <w:pPr>
        <w:spacing w:line="360" w:lineRule="auto"/>
        <w:ind w:firstLine="480" w:firstLineChars="200"/>
        <w:rPr>
          <w:rFonts w:ascii="宋体" w:hAnsi="宋体" w:cs="宋体"/>
          <w:sz w:val="24"/>
        </w:rPr>
      </w:pPr>
      <w:r>
        <w:rPr>
          <w:rFonts w:hint="eastAsia" w:ascii="宋体" w:hAnsi="宋体" w:cs="宋体"/>
          <w:sz w:val="24"/>
        </w:rPr>
        <w:t>（3）比选文件的解释和澄清</w:t>
      </w:r>
    </w:p>
    <w:p w14:paraId="3F4EECEB">
      <w:pPr>
        <w:spacing w:line="360" w:lineRule="auto"/>
        <w:ind w:firstLine="480" w:firstLineChars="200"/>
        <w:rPr>
          <w:rFonts w:ascii="宋体" w:hAnsi="宋体" w:cs="宋体"/>
          <w:sz w:val="24"/>
        </w:rPr>
      </w:pPr>
      <w:r>
        <w:rPr>
          <w:rFonts w:hint="eastAsia" w:ascii="宋体" w:hAnsi="宋体" w:cs="宋体"/>
          <w:sz w:val="24"/>
        </w:rPr>
        <w:t>招标人提供的有关资料和数据是招标人现有的能使投标人利用的资料。投标人对比选文件所作的任何推论、解释和结论，招标人概不负责。投标人因对比选文件的任何推论、误解以及招标人对有关问题的口头解释所造成的后果，均由投标人自负。实质上不响应招标文件要求的投标文件将被拒绝。</w:t>
      </w:r>
    </w:p>
    <w:p w14:paraId="2C941143">
      <w:pPr>
        <w:spacing w:line="360" w:lineRule="auto"/>
        <w:ind w:firstLine="482" w:firstLineChars="200"/>
        <w:rPr>
          <w:rFonts w:ascii="宋体" w:hAnsi="宋体" w:cs="宋体"/>
          <w:b/>
          <w:bCs/>
          <w:sz w:val="24"/>
        </w:rPr>
      </w:pPr>
      <w:r>
        <w:rPr>
          <w:rFonts w:hint="eastAsia" w:ascii="宋体" w:hAnsi="宋体" w:cs="宋体"/>
          <w:b/>
          <w:bCs/>
          <w:sz w:val="24"/>
        </w:rPr>
        <w:t>十、投标纪律</w:t>
      </w:r>
    </w:p>
    <w:p w14:paraId="1097148B">
      <w:pPr>
        <w:spacing w:line="360" w:lineRule="auto"/>
        <w:ind w:firstLine="480" w:firstLineChars="200"/>
        <w:rPr>
          <w:rFonts w:ascii="宋体" w:hAnsi="宋体" w:cs="宋体"/>
          <w:sz w:val="24"/>
        </w:rPr>
      </w:pPr>
      <w:r>
        <w:rPr>
          <w:rFonts w:hint="eastAsia" w:ascii="宋体" w:hAnsi="宋体" w:cs="宋体"/>
          <w:sz w:val="24"/>
        </w:rPr>
        <w:t>1、投标单位不得对招标单位、评标人员施加任何影响，否则将取消其投标资格；</w:t>
      </w:r>
    </w:p>
    <w:p w14:paraId="384BE39B">
      <w:pPr>
        <w:spacing w:line="360" w:lineRule="auto"/>
        <w:ind w:firstLine="480" w:firstLineChars="200"/>
        <w:rPr>
          <w:rFonts w:ascii="宋体" w:hAnsi="宋体" w:cs="宋体"/>
          <w:sz w:val="24"/>
        </w:rPr>
      </w:pPr>
      <w:r>
        <w:rPr>
          <w:rFonts w:hint="eastAsia" w:ascii="宋体" w:hAnsi="宋体" w:cs="宋体"/>
          <w:sz w:val="24"/>
        </w:rPr>
        <w:t>2、投标单位不得以挂靠单位、转让证件等形式参与投标，否则其投标无效；</w:t>
      </w:r>
    </w:p>
    <w:p w14:paraId="1BA2C2E8">
      <w:pPr>
        <w:spacing w:line="360" w:lineRule="auto"/>
        <w:ind w:firstLine="480" w:firstLineChars="200"/>
        <w:rPr>
          <w:rFonts w:ascii="宋体" w:hAnsi="宋体" w:cs="宋体"/>
          <w:sz w:val="24"/>
        </w:rPr>
      </w:pPr>
      <w:r>
        <w:rPr>
          <w:rFonts w:hint="eastAsia" w:ascii="宋体" w:hAnsi="宋体" w:cs="宋体"/>
          <w:sz w:val="24"/>
        </w:rPr>
        <w:t>3、投标单位中标后未经招标人书面同意，转让招标代理业务的，将取消其中标资格；</w:t>
      </w:r>
    </w:p>
    <w:p w14:paraId="43F6ED6C">
      <w:pPr>
        <w:spacing w:line="360" w:lineRule="auto"/>
        <w:ind w:firstLine="480" w:firstLineChars="200"/>
        <w:rPr>
          <w:rFonts w:ascii="宋体" w:hAnsi="宋体" w:cs="宋体"/>
          <w:sz w:val="24"/>
        </w:rPr>
      </w:pPr>
      <w:r>
        <w:rPr>
          <w:rFonts w:hint="eastAsia" w:ascii="宋体" w:hAnsi="宋体" w:cs="宋体"/>
          <w:sz w:val="24"/>
        </w:rPr>
        <w:t>4、各投标单位必须遵守招标单位的一切会议安排，不得以任何理由、任何手段干预、扰乱会场，否则取消其投标资格；</w:t>
      </w:r>
    </w:p>
    <w:p w14:paraId="6D75673C">
      <w:pPr>
        <w:spacing w:line="360" w:lineRule="auto"/>
        <w:ind w:firstLine="480" w:firstLineChars="200"/>
        <w:rPr>
          <w:rFonts w:ascii="宋体" w:hAnsi="宋体" w:cs="宋体"/>
          <w:sz w:val="24"/>
        </w:rPr>
      </w:pPr>
      <w:r>
        <w:rPr>
          <w:rFonts w:hint="eastAsia" w:ascii="宋体" w:hAnsi="宋体" w:cs="宋体"/>
          <w:sz w:val="24"/>
        </w:rPr>
        <w:t>5、投标书中的一切证明、证件必须真实可靠，否则取消其投标资格；</w:t>
      </w:r>
    </w:p>
    <w:p w14:paraId="5D7D82E3">
      <w:pPr>
        <w:spacing w:line="360" w:lineRule="auto"/>
        <w:ind w:firstLine="480" w:firstLineChars="200"/>
        <w:rPr>
          <w:rFonts w:ascii="宋体" w:hAnsi="宋体" w:cs="宋体"/>
          <w:sz w:val="24"/>
        </w:rPr>
      </w:pPr>
      <w:r>
        <w:rPr>
          <w:rFonts w:hint="eastAsia" w:ascii="宋体" w:hAnsi="宋体" w:cs="宋体"/>
          <w:sz w:val="24"/>
        </w:rPr>
        <w:t>6、投标单位法定代表人或其委托代理人参加本项目招标的一切活动，必须出示单位法定代表人身份证明、有效身份证或盖有法定代表人私章（签名）并</w:t>
      </w:r>
      <w:bookmarkStart w:id="10" w:name="OLE_LINK1"/>
      <w:r>
        <w:rPr>
          <w:rFonts w:hint="eastAsia" w:ascii="宋体" w:hAnsi="宋体" w:cs="宋体"/>
          <w:sz w:val="24"/>
        </w:rPr>
        <w:t>盖投标单位公章</w:t>
      </w:r>
      <w:bookmarkEnd w:id="10"/>
      <w:r>
        <w:rPr>
          <w:rFonts w:hint="eastAsia" w:ascii="宋体" w:hAnsi="宋体" w:cs="宋体"/>
          <w:sz w:val="24"/>
        </w:rPr>
        <w:t>的授权委托书、委托代理人身份证。</w:t>
      </w:r>
    </w:p>
    <w:p w14:paraId="695DF690">
      <w:pPr>
        <w:spacing w:line="360" w:lineRule="auto"/>
        <w:ind w:firstLine="482" w:firstLineChars="200"/>
        <w:rPr>
          <w:rFonts w:ascii="宋体" w:hAnsi="宋体" w:cs="宋体"/>
          <w:b/>
          <w:bCs/>
          <w:sz w:val="24"/>
        </w:rPr>
      </w:pPr>
      <w:r>
        <w:rPr>
          <w:rFonts w:hint="eastAsia" w:ascii="宋体" w:hAnsi="宋体" w:cs="宋体"/>
          <w:b/>
          <w:bCs/>
          <w:sz w:val="24"/>
        </w:rPr>
        <w:t>十一、比选投标文件的编制</w:t>
      </w:r>
    </w:p>
    <w:p w14:paraId="7BE50140">
      <w:pPr>
        <w:spacing w:line="360" w:lineRule="auto"/>
        <w:ind w:firstLine="480" w:firstLineChars="200"/>
        <w:rPr>
          <w:rFonts w:ascii="宋体" w:hAnsi="宋体" w:cs="宋体"/>
          <w:sz w:val="24"/>
        </w:rPr>
      </w:pPr>
      <w:r>
        <w:rPr>
          <w:rFonts w:hint="eastAsia" w:ascii="宋体" w:hAnsi="宋体" w:cs="宋体"/>
          <w:sz w:val="24"/>
        </w:rPr>
        <w:t>比选投标文件的组成。投标文件包括商务标和技术标两部分，商务标和技术标可装订为一本。</w:t>
      </w:r>
    </w:p>
    <w:p w14:paraId="6B686671">
      <w:pPr>
        <w:spacing w:line="360" w:lineRule="auto"/>
        <w:ind w:firstLine="480" w:firstLineChars="200"/>
        <w:rPr>
          <w:rFonts w:ascii="宋体" w:hAnsi="宋体" w:cs="宋体"/>
          <w:sz w:val="24"/>
        </w:rPr>
      </w:pPr>
      <w:r>
        <w:rPr>
          <w:rFonts w:hint="eastAsia" w:ascii="宋体" w:hAnsi="宋体" w:cs="宋体"/>
          <w:sz w:val="24"/>
        </w:rPr>
        <w:t>（一）商务标部份应包括下列内容：</w:t>
      </w:r>
    </w:p>
    <w:p w14:paraId="2E141B10">
      <w:pPr>
        <w:spacing w:line="360" w:lineRule="auto"/>
        <w:ind w:firstLine="480" w:firstLineChars="200"/>
        <w:rPr>
          <w:rFonts w:ascii="宋体" w:hAnsi="宋体" w:cs="宋体"/>
          <w:sz w:val="24"/>
        </w:rPr>
      </w:pPr>
      <w:r>
        <w:rPr>
          <w:rFonts w:hint="eastAsia" w:ascii="宋体" w:hAnsi="宋体" w:cs="宋体"/>
          <w:sz w:val="24"/>
        </w:rPr>
        <w:t>1、参加比选的代表不是法定代表人的，须有法定代表人签署的授权委托书并加盖单位公章，并附法定代表人有效身份证和被授权人有效身份证复印件；</w:t>
      </w:r>
    </w:p>
    <w:p w14:paraId="4776D148">
      <w:pPr>
        <w:spacing w:line="360" w:lineRule="auto"/>
        <w:ind w:firstLine="480" w:firstLineChars="200"/>
        <w:rPr>
          <w:rFonts w:ascii="宋体" w:hAnsi="宋体" w:cs="宋体"/>
          <w:sz w:val="24"/>
        </w:rPr>
      </w:pPr>
      <w:r>
        <w:rPr>
          <w:rFonts w:hint="eastAsia" w:ascii="宋体" w:hAnsi="宋体" w:cs="宋体"/>
          <w:sz w:val="24"/>
        </w:rPr>
        <w:t>2、服务承诺书；</w:t>
      </w:r>
    </w:p>
    <w:p w14:paraId="3A2A1EB3">
      <w:pPr>
        <w:pStyle w:val="5"/>
      </w:pPr>
      <w:r>
        <w:rPr>
          <w:rFonts w:hint="eastAsia" w:ascii="宋体" w:hAnsi="宋体" w:eastAsia="宋体" w:cs="宋体"/>
          <w:kern w:val="2"/>
          <w:sz w:val="24"/>
          <w:szCs w:val="24"/>
        </w:rPr>
        <w:t xml:space="preserve">    3、服务方案；</w:t>
      </w:r>
    </w:p>
    <w:p w14:paraId="2233D1E5">
      <w:pPr>
        <w:spacing w:line="360" w:lineRule="auto"/>
        <w:ind w:firstLine="480" w:firstLineChars="200"/>
        <w:rPr>
          <w:rFonts w:ascii="宋体" w:hAnsi="宋体" w:cs="宋体"/>
          <w:sz w:val="24"/>
        </w:rPr>
      </w:pPr>
      <w:r>
        <w:rPr>
          <w:rFonts w:hint="eastAsia" w:ascii="宋体" w:hAnsi="宋体" w:cs="宋体"/>
          <w:sz w:val="24"/>
        </w:rPr>
        <w:t>4、比选投标单位基本情况；</w:t>
      </w:r>
    </w:p>
    <w:p w14:paraId="7F60837E">
      <w:pPr>
        <w:spacing w:line="360" w:lineRule="auto"/>
        <w:ind w:firstLine="480" w:firstLineChars="200"/>
        <w:rPr>
          <w:rFonts w:ascii="宋体" w:hAnsi="宋体" w:cs="宋体"/>
          <w:sz w:val="24"/>
        </w:rPr>
      </w:pPr>
      <w:r>
        <w:rPr>
          <w:rFonts w:hint="eastAsia" w:ascii="宋体" w:hAnsi="宋体" w:cs="宋体"/>
          <w:sz w:val="24"/>
        </w:rPr>
        <w:t>5、比选投标单位近三年来成功案例业绩证明资料；</w:t>
      </w:r>
    </w:p>
    <w:p w14:paraId="2903D6E8">
      <w:pPr>
        <w:spacing w:line="360" w:lineRule="auto"/>
        <w:ind w:firstLine="480" w:firstLineChars="200"/>
        <w:rPr>
          <w:rFonts w:ascii="宋体" w:hAnsi="宋体" w:cs="宋体"/>
          <w:sz w:val="24"/>
        </w:rPr>
      </w:pPr>
      <w:r>
        <w:rPr>
          <w:rFonts w:hint="eastAsia" w:ascii="宋体" w:hAnsi="宋体" w:cs="宋体"/>
          <w:sz w:val="24"/>
          <w:highlight w:val="none"/>
          <w:lang w:val="en-US" w:eastAsia="zh-CN"/>
        </w:rPr>
        <w:t>6</w:t>
      </w:r>
      <w:r>
        <w:rPr>
          <w:rFonts w:hint="eastAsia" w:ascii="宋体" w:hAnsi="宋体" w:cs="宋体"/>
          <w:sz w:val="24"/>
          <w:highlight w:val="none"/>
        </w:rPr>
        <w:t>、比选投标单位相关企业证书（企业法人营业执照副本、企业法人组织机构代码证</w:t>
      </w:r>
      <w:r>
        <w:rPr>
          <w:rFonts w:hint="eastAsia" w:ascii="宋体" w:hAnsi="宋体" w:cs="宋体"/>
          <w:sz w:val="24"/>
        </w:rPr>
        <w:t>等的复印件）；</w:t>
      </w:r>
    </w:p>
    <w:p w14:paraId="3209718E">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、特定资格证明文件；</w:t>
      </w:r>
    </w:p>
    <w:p w14:paraId="7F5A7003">
      <w:pPr>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、投标单位认为需要提供的其他资料文件。</w:t>
      </w:r>
    </w:p>
    <w:p w14:paraId="24614B09">
      <w:pPr>
        <w:spacing w:line="360" w:lineRule="auto"/>
        <w:ind w:firstLine="480" w:firstLineChars="200"/>
        <w:rPr>
          <w:rFonts w:ascii="宋体" w:hAnsi="宋体" w:cs="宋体"/>
          <w:sz w:val="24"/>
        </w:rPr>
      </w:pPr>
      <w:r>
        <w:rPr>
          <w:rFonts w:hint="eastAsia" w:ascii="宋体" w:hAnsi="宋体" w:cs="宋体"/>
          <w:sz w:val="24"/>
        </w:rPr>
        <w:t>（二）技术部分由投标单位自行编制。</w:t>
      </w:r>
    </w:p>
    <w:p w14:paraId="19A63D74">
      <w:pPr>
        <w:spacing w:line="360" w:lineRule="auto"/>
        <w:ind w:firstLine="480" w:firstLineChars="200"/>
        <w:rPr>
          <w:rFonts w:ascii="宋体" w:hAnsi="宋体" w:cs="宋体"/>
          <w:sz w:val="24"/>
        </w:rPr>
      </w:pPr>
      <w:r>
        <w:rPr>
          <w:rFonts w:hint="eastAsia" w:ascii="宋体" w:hAnsi="宋体" w:cs="宋体"/>
          <w:sz w:val="24"/>
        </w:rPr>
        <w:t>注：各比选</w:t>
      </w:r>
      <w:bookmarkStart w:id="11" w:name="OLE_LINK3"/>
      <w:r>
        <w:rPr>
          <w:rFonts w:hint="eastAsia" w:ascii="宋体" w:hAnsi="宋体" w:cs="宋体"/>
          <w:sz w:val="24"/>
        </w:rPr>
        <w:t>投标单位</w:t>
      </w:r>
      <w:bookmarkEnd w:id="11"/>
      <w:r>
        <w:rPr>
          <w:rFonts w:hint="eastAsia" w:ascii="宋体" w:hAnsi="宋体" w:cs="宋体"/>
          <w:sz w:val="24"/>
        </w:rPr>
        <w:t>应保证上述资料的真实、可靠，如提供的资料和数据出现弄虚作假的情况即取消比选资格或中标候选人资格。</w:t>
      </w:r>
    </w:p>
    <w:p w14:paraId="6DD0A629">
      <w:pPr>
        <w:spacing w:line="360" w:lineRule="auto"/>
        <w:ind w:firstLine="482" w:firstLineChars="200"/>
        <w:rPr>
          <w:rFonts w:ascii="宋体" w:hAnsi="宋体" w:cs="宋体"/>
          <w:b/>
          <w:bCs/>
          <w:sz w:val="24"/>
        </w:rPr>
      </w:pPr>
      <w:r>
        <w:rPr>
          <w:rFonts w:hint="eastAsia" w:ascii="宋体" w:hAnsi="宋体" w:cs="宋体"/>
          <w:b/>
          <w:bCs/>
          <w:sz w:val="24"/>
        </w:rPr>
        <w:t>十二、比选投标文件的份数与签署</w:t>
      </w:r>
    </w:p>
    <w:p w14:paraId="42176361">
      <w:pPr>
        <w:spacing w:line="360" w:lineRule="auto"/>
        <w:ind w:firstLine="480" w:firstLineChars="200"/>
        <w:rPr>
          <w:rFonts w:hint="eastAsia" w:ascii="宋体" w:hAnsi="宋体" w:cs="宋体"/>
          <w:sz w:val="24"/>
        </w:rPr>
      </w:pPr>
      <w:r>
        <w:rPr>
          <w:rFonts w:hint="eastAsia" w:ascii="宋体" w:hAnsi="宋体" w:cs="宋体"/>
          <w:sz w:val="24"/>
        </w:rPr>
        <w:t>（1）比选投标文件一正</w:t>
      </w:r>
      <w:r>
        <w:rPr>
          <w:rFonts w:hint="eastAsia" w:ascii="宋体" w:hAnsi="宋体" w:cs="宋体"/>
          <w:sz w:val="24"/>
          <w:lang w:val="en-US" w:eastAsia="zh-CN"/>
        </w:rPr>
        <w:t>两</w:t>
      </w:r>
      <w:r>
        <w:rPr>
          <w:rFonts w:hint="eastAsia" w:ascii="宋体" w:hAnsi="宋体" w:cs="宋体"/>
          <w:sz w:val="24"/>
        </w:rPr>
        <w:t>副，字迹应清晰易于辨认,并清楚地注明“正本”或“副本”，正本的签署应完好无缺；正本和副本如有不一致之处，以正本为准；如未注明“正本”或“副本”，且投标文件中实质性内容表述不一致的，则视为不合格投标人。</w:t>
      </w:r>
    </w:p>
    <w:p w14:paraId="7C016B60">
      <w:pPr>
        <w:spacing w:line="360" w:lineRule="auto"/>
        <w:ind w:firstLine="480" w:firstLineChars="200"/>
        <w:rPr>
          <w:rFonts w:hint="eastAsia" w:ascii="宋体" w:hAnsi="宋体" w:cs="宋体"/>
          <w:sz w:val="24"/>
        </w:rPr>
      </w:pPr>
      <w:r>
        <w:rPr>
          <w:rFonts w:hint="eastAsia" w:ascii="宋体" w:hAnsi="宋体" w:cs="宋体"/>
          <w:sz w:val="24"/>
        </w:rPr>
        <w:t>备注：投标单位须递交与正本内容一致的电子文件壹份（响应文件正本签字盖章后PDF扫描件电子文档一份存至U盘随响应文件同时密封递交）。</w:t>
      </w:r>
    </w:p>
    <w:p w14:paraId="1AAC73E2">
      <w:pPr>
        <w:spacing w:line="360" w:lineRule="auto"/>
        <w:ind w:firstLine="480" w:firstLineChars="200"/>
        <w:rPr>
          <w:rFonts w:ascii="宋体" w:hAnsi="宋体" w:cs="宋体"/>
          <w:sz w:val="24"/>
        </w:rPr>
      </w:pPr>
      <w:r>
        <w:rPr>
          <w:rFonts w:hint="eastAsia" w:ascii="宋体" w:hAnsi="宋体" w:cs="宋体"/>
          <w:sz w:val="24"/>
        </w:rPr>
        <w:t xml:space="preserve">（2）投标文件（内封面或外封面）、比选承诺函应加盖投标单位公章，并由法定代表人或其委托人签字或盖章，否则视为不合格投标人。 </w:t>
      </w:r>
    </w:p>
    <w:p w14:paraId="06060146">
      <w:pPr>
        <w:spacing w:line="360" w:lineRule="auto"/>
        <w:ind w:firstLine="480" w:firstLineChars="200"/>
        <w:rPr>
          <w:rFonts w:ascii="宋体" w:hAnsi="宋体" w:cs="宋体"/>
          <w:sz w:val="24"/>
        </w:rPr>
      </w:pPr>
      <w:r>
        <w:rPr>
          <w:rFonts w:hint="eastAsia" w:ascii="宋体" w:hAnsi="宋体" w:cs="宋体"/>
          <w:sz w:val="24"/>
        </w:rPr>
        <w:t>(3)除投标人对商务标错误处须修改外，全套投标文件应无涂改或行间插字和增删。如有修改，修改处应由投标人加盖公章或由投标文件签署人签字并盖章，否则其修改的内容无效。</w:t>
      </w:r>
    </w:p>
    <w:p w14:paraId="6D0EB218">
      <w:pPr>
        <w:spacing w:line="360" w:lineRule="auto"/>
        <w:ind w:firstLine="480" w:firstLineChars="200"/>
        <w:rPr>
          <w:rFonts w:ascii="宋体" w:hAnsi="宋体" w:cs="宋体"/>
          <w:sz w:val="24"/>
        </w:rPr>
      </w:pPr>
      <w:r>
        <w:rPr>
          <w:rFonts w:hint="eastAsia" w:ascii="宋体" w:hAnsi="宋体" w:cs="宋体"/>
          <w:sz w:val="24"/>
        </w:rPr>
        <w:t>(4)电报、电话或传真形式的投标，招标人概不接受。</w:t>
      </w:r>
    </w:p>
    <w:p w14:paraId="61590A6D">
      <w:pPr>
        <w:spacing w:line="360" w:lineRule="auto"/>
        <w:ind w:firstLine="482" w:firstLineChars="200"/>
        <w:rPr>
          <w:rFonts w:ascii="宋体" w:hAnsi="宋体" w:cs="宋体"/>
          <w:b/>
          <w:bCs/>
          <w:sz w:val="24"/>
        </w:rPr>
      </w:pPr>
      <w:r>
        <w:rPr>
          <w:rFonts w:hint="eastAsia" w:ascii="宋体" w:hAnsi="宋体" w:cs="宋体"/>
          <w:b/>
          <w:bCs/>
          <w:sz w:val="24"/>
        </w:rPr>
        <w:t>十三、投标文件的密封与递交</w:t>
      </w:r>
    </w:p>
    <w:p w14:paraId="799DA03B">
      <w:pPr>
        <w:spacing w:line="360" w:lineRule="auto"/>
        <w:ind w:firstLine="480" w:firstLineChars="200"/>
        <w:rPr>
          <w:rFonts w:ascii="宋体" w:hAnsi="宋体" w:cs="宋体"/>
          <w:sz w:val="24"/>
        </w:rPr>
      </w:pPr>
      <w:r>
        <w:rPr>
          <w:rFonts w:hint="eastAsia" w:ascii="宋体" w:hAnsi="宋体" w:cs="宋体"/>
          <w:sz w:val="24"/>
        </w:rPr>
        <w:t>(1)投标文件的装订密封和标记</w:t>
      </w:r>
    </w:p>
    <w:p w14:paraId="731972DE">
      <w:pPr>
        <w:spacing w:line="360" w:lineRule="auto"/>
        <w:ind w:firstLine="480" w:firstLineChars="200"/>
        <w:rPr>
          <w:rFonts w:ascii="宋体" w:hAnsi="宋体" w:cs="宋体"/>
          <w:sz w:val="24"/>
        </w:rPr>
      </w:pPr>
      <w:r>
        <w:rPr>
          <w:rFonts w:hint="eastAsia" w:ascii="宋体" w:hAnsi="宋体" w:cs="宋体"/>
          <w:sz w:val="24"/>
        </w:rPr>
        <w:t>投标人应将投标文件密封包装。</w:t>
      </w:r>
    </w:p>
    <w:p w14:paraId="63DEE0A4">
      <w:pPr>
        <w:spacing w:line="360" w:lineRule="auto"/>
        <w:ind w:firstLine="480" w:firstLineChars="200"/>
        <w:rPr>
          <w:rFonts w:ascii="宋体" w:hAnsi="宋体" w:cs="宋体"/>
          <w:sz w:val="24"/>
        </w:rPr>
      </w:pPr>
      <w:r>
        <w:rPr>
          <w:rFonts w:hint="eastAsia" w:ascii="宋体" w:hAnsi="宋体" w:cs="宋体"/>
          <w:sz w:val="24"/>
        </w:rPr>
        <w:t>投标文件封皮上应注明招标项目名称、投标人名称。投标文件密封袋应密封完整，并在封口处加盖投标人公章和法定代表人或委托代理人签字（或印章）。</w:t>
      </w:r>
    </w:p>
    <w:p w14:paraId="4FDCF8C3">
      <w:pPr>
        <w:spacing w:line="360" w:lineRule="auto"/>
        <w:ind w:firstLine="480" w:firstLineChars="200"/>
        <w:rPr>
          <w:rFonts w:ascii="宋体" w:hAnsi="宋体" w:cs="宋体"/>
          <w:sz w:val="24"/>
        </w:rPr>
      </w:pPr>
      <w:r>
        <w:rPr>
          <w:rFonts w:hint="eastAsia" w:ascii="宋体" w:hAnsi="宋体" w:cs="宋体"/>
          <w:sz w:val="24"/>
        </w:rPr>
        <w:t>投标书未按上述规定密封的视为无效投标书。</w:t>
      </w:r>
    </w:p>
    <w:p w14:paraId="06C3F185">
      <w:pPr>
        <w:spacing w:line="360" w:lineRule="auto"/>
        <w:ind w:firstLine="480" w:firstLineChars="200"/>
        <w:rPr>
          <w:rFonts w:ascii="宋体" w:hAnsi="宋体" w:cs="宋体"/>
          <w:sz w:val="24"/>
        </w:rPr>
      </w:pPr>
      <w:r>
        <w:rPr>
          <w:rFonts w:hint="eastAsia" w:ascii="宋体" w:hAnsi="宋体" w:cs="宋体"/>
          <w:sz w:val="24"/>
        </w:rPr>
        <w:t>(2)投标文件的递交</w:t>
      </w:r>
    </w:p>
    <w:p w14:paraId="02C3113B">
      <w:pPr>
        <w:spacing w:line="360" w:lineRule="auto"/>
        <w:ind w:firstLine="480" w:firstLineChars="200"/>
        <w:rPr>
          <w:rFonts w:ascii="宋体" w:hAnsi="宋体" w:cs="宋体"/>
          <w:sz w:val="24"/>
        </w:rPr>
      </w:pPr>
      <w:r>
        <w:rPr>
          <w:rFonts w:hint="eastAsia" w:ascii="宋体" w:hAnsi="宋体" w:cs="宋体"/>
          <w:sz w:val="24"/>
        </w:rPr>
        <w:t>各投标人的投标书由专人于规定的投标截止时间之前送至湖南化工职业技术学院</w:t>
      </w:r>
      <w:r>
        <w:rPr>
          <w:rFonts w:hint="eastAsia" w:ascii="宋体" w:hAnsi="宋体" w:cs="宋体"/>
          <w:color w:val="auto"/>
          <w:sz w:val="24"/>
          <w:lang w:eastAsia="zh-CN"/>
        </w:rPr>
        <w:t>上善楼</w:t>
      </w:r>
      <w:r>
        <w:rPr>
          <w:rFonts w:hint="eastAsia" w:ascii="宋体" w:hAnsi="宋体" w:cs="宋体"/>
          <w:sz w:val="24"/>
          <w:lang w:val="en-US" w:eastAsia="zh-CN"/>
        </w:rPr>
        <w:t>109</w:t>
      </w:r>
      <w:r>
        <w:rPr>
          <w:rFonts w:hint="eastAsia" w:ascii="宋体" w:hAnsi="宋体" w:cs="宋体"/>
          <w:sz w:val="24"/>
        </w:rPr>
        <w:t>，由工作人员登记。投标时间截止后，逾期送达的投标书将被招标单位拒收，其投标书为无效投标书。</w:t>
      </w:r>
    </w:p>
    <w:p w14:paraId="14ACB6BB">
      <w:pPr>
        <w:spacing w:before="156" w:beforeLines="50" w:after="156" w:afterLines="50" w:line="360" w:lineRule="auto"/>
        <w:ind w:firstLine="482" w:firstLineChars="200"/>
        <w:rPr>
          <w:rFonts w:ascii="宋体" w:hAnsi="宋体" w:cs="宋体"/>
          <w:b/>
          <w:sz w:val="24"/>
        </w:rPr>
      </w:pPr>
      <w:r>
        <w:rPr>
          <w:rFonts w:hint="eastAsia" w:ascii="宋体" w:hAnsi="宋体" w:cs="宋体"/>
          <w:b/>
          <w:sz w:val="24"/>
        </w:rPr>
        <w:t>十四、评标办法和选取确认方式</w:t>
      </w:r>
    </w:p>
    <w:p w14:paraId="2AE12EB0">
      <w:pPr>
        <w:spacing w:line="360" w:lineRule="auto"/>
        <w:ind w:firstLine="480" w:firstLineChars="200"/>
        <w:rPr>
          <w:rFonts w:ascii="宋体" w:hAnsi="宋体" w:cs="宋体"/>
          <w:sz w:val="24"/>
        </w:rPr>
      </w:pPr>
      <w:r>
        <w:rPr>
          <w:rFonts w:hint="eastAsia" w:ascii="宋体" w:hAnsi="宋体" w:cs="宋体"/>
          <w:sz w:val="24"/>
        </w:rPr>
        <w:t>1、比选评分标准</w:t>
      </w:r>
    </w:p>
    <w:p w14:paraId="6020A17A">
      <w:pPr>
        <w:spacing w:line="360" w:lineRule="auto"/>
        <w:ind w:firstLine="480" w:firstLineChars="200"/>
        <w:rPr>
          <w:rFonts w:ascii="宋体" w:hAnsi="宋体" w:cs="宋体"/>
          <w:sz w:val="24"/>
        </w:rPr>
      </w:pPr>
      <w:r>
        <w:rPr>
          <w:rFonts w:hint="eastAsia" w:ascii="宋体" w:hAnsi="宋体" w:cs="宋体"/>
          <w:sz w:val="24"/>
        </w:rPr>
        <w:t>对参与比选的投标人进行资格审查后，按比选评分标准对各投标人进行打分，综合得分排名前1名的投标人获得本次比选的中标资格，比选评分标准附后。</w:t>
      </w:r>
    </w:p>
    <w:p w14:paraId="574C1856">
      <w:pPr>
        <w:spacing w:line="360" w:lineRule="auto"/>
        <w:ind w:firstLine="480" w:firstLineChars="200"/>
        <w:rPr>
          <w:rFonts w:ascii="宋体" w:hAnsi="宋体" w:cs="宋体"/>
          <w:sz w:val="24"/>
        </w:rPr>
      </w:pPr>
      <w:r>
        <w:rPr>
          <w:rFonts w:hint="eastAsia" w:ascii="宋体" w:hAnsi="宋体" w:cs="宋体"/>
          <w:sz w:val="24"/>
        </w:rPr>
        <w:t>1、比选评分标准</w:t>
      </w:r>
    </w:p>
    <w:p w14:paraId="6D8D3CFC">
      <w:pPr>
        <w:spacing w:line="360" w:lineRule="auto"/>
        <w:ind w:firstLine="480" w:firstLineChars="200"/>
        <w:rPr>
          <w:rFonts w:ascii="宋体" w:hAnsi="宋体" w:cs="宋体"/>
          <w:sz w:val="24"/>
        </w:rPr>
      </w:pPr>
      <w:r>
        <w:rPr>
          <w:rFonts w:hint="eastAsia" w:ascii="宋体" w:hAnsi="宋体" w:cs="宋体"/>
          <w:sz w:val="24"/>
        </w:rPr>
        <w:t>对参与比选的投标人进行资格审查后，按比选评分标准对各投标人进行打分，综合得分排名前1名的投标人获得本次比选的中标资格，比选评分标准附后。</w:t>
      </w:r>
    </w:p>
    <w:p w14:paraId="17E1EAE5">
      <w:pPr>
        <w:pStyle w:val="7"/>
        <w:spacing w:after="0"/>
        <w:jc w:val="center"/>
        <w:rPr>
          <w:rFonts w:ascii="仿宋" w:hAnsi="仿宋" w:eastAsia="仿宋" w:cs="仿宋"/>
          <w:color w:val="FF0000"/>
          <w:sz w:val="28"/>
          <w:szCs w:val="28"/>
        </w:rPr>
      </w:pPr>
      <w:r>
        <w:rPr>
          <w:rFonts w:hint="eastAsia" w:ascii="仿宋" w:hAnsi="仿宋" w:eastAsia="仿宋" w:cs="仿宋"/>
          <w:b/>
          <w:bCs/>
          <w:sz w:val="28"/>
          <w:szCs w:val="28"/>
        </w:rPr>
        <w:t>比选</w:t>
      </w:r>
      <w:bookmarkStart w:id="12" w:name="_Hlk160818547"/>
      <w:r>
        <w:rPr>
          <w:rFonts w:hint="eastAsia" w:ascii="仿宋" w:hAnsi="仿宋" w:eastAsia="仿宋" w:cs="仿宋"/>
          <w:b/>
          <w:bCs/>
          <w:sz w:val="28"/>
          <w:szCs w:val="28"/>
        </w:rPr>
        <w:t>评分标准</w:t>
      </w:r>
      <w:bookmarkEnd w:id="12"/>
    </w:p>
    <w:tbl>
      <w:tblPr>
        <w:tblStyle w:val="19"/>
        <w:tblW w:w="91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5"/>
        <w:gridCol w:w="948"/>
        <w:gridCol w:w="995"/>
        <w:gridCol w:w="810"/>
        <w:gridCol w:w="5931"/>
      </w:tblGrid>
      <w:tr w14:paraId="15573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5" w:type="dxa"/>
            <w:noWrap w:val="0"/>
            <w:vAlign w:val="center"/>
          </w:tcPr>
          <w:p w14:paraId="1AFED27D">
            <w:pPr>
              <w:spacing w:line="400" w:lineRule="exact"/>
              <w:jc w:val="center"/>
              <w:rPr>
                <w:rFonts w:hint="eastAsia" w:ascii="宋体" w:hAnsi="宋体" w:cs="宋体"/>
                <w:bCs/>
                <w:szCs w:val="21"/>
              </w:rPr>
            </w:pPr>
            <w:r>
              <w:rPr>
                <w:rFonts w:hint="eastAsia" w:ascii="宋体" w:hAnsi="宋体" w:cs="宋体"/>
                <w:bCs/>
                <w:szCs w:val="21"/>
              </w:rPr>
              <w:t>序号</w:t>
            </w:r>
          </w:p>
        </w:tc>
        <w:tc>
          <w:tcPr>
            <w:tcW w:w="948" w:type="dxa"/>
            <w:noWrap w:val="0"/>
            <w:vAlign w:val="center"/>
          </w:tcPr>
          <w:p w14:paraId="5ECD9944">
            <w:pPr>
              <w:spacing w:line="400" w:lineRule="exact"/>
              <w:jc w:val="center"/>
              <w:rPr>
                <w:rFonts w:hint="eastAsia" w:ascii="宋体" w:hAnsi="宋体" w:cs="宋体"/>
                <w:bCs/>
                <w:szCs w:val="21"/>
              </w:rPr>
            </w:pPr>
            <w:r>
              <w:rPr>
                <w:rFonts w:hint="eastAsia" w:ascii="宋体" w:hAnsi="宋体" w:cs="宋体"/>
                <w:bCs/>
                <w:szCs w:val="21"/>
              </w:rPr>
              <w:t>项目</w:t>
            </w:r>
          </w:p>
        </w:tc>
        <w:tc>
          <w:tcPr>
            <w:tcW w:w="995" w:type="dxa"/>
            <w:noWrap w:val="0"/>
            <w:vAlign w:val="center"/>
          </w:tcPr>
          <w:p w14:paraId="4614486B">
            <w:pPr>
              <w:spacing w:line="400" w:lineRule="exact"/>
              <w:jc w:val="center"/>
              <w:rPr>
                <w:rFonts w:hint="eastAsia" w:ascii="宋体" w:hAnsi="宋体" w:cs="宋体"/>
                <w:bCs/>
                <w:szCs w:val="21"/>
              </w:rPr>
            </w:pPr>
            <w:r>
              <w:rPr>
                <w:rFonts w:hint="eastAsia" w:ascii="宋体" w:hAnsi="宋体" w:cs="宋体"/>
                <w:bCs/>
                <w:szCs w:val="21"/>
              </w:rPr>
              <w:t>评审</w:t>
            </w:r>
          </w:p>
          <w:p w14:paraId="08F81A8F">
            <w:pPr>
              <w:spacing w:line="400" w:lineRule="exact"/>
              <w:jc w:val="center"/>
              <w:rPr>
                <w:rFonts w:hint="eastAsia" w:ascii="宋体" w:hAnsi="宋体" w:cs="宋体"/>
                <w:bCs/>
                <w:szCs w:val="21"/>
              </w:rPr>
            </w:pPr>
            <w:r>
              <w:rPr>
                <w:rFonts w:hint="eastAsia" w:ascii="宋体" w:hAnsi="宋体" w:cs="宋体"/>
                <w:bCs/>
                <w:szCs w:val="21"/>
              </w:rPr>
              <w:t>因素</w:t>
            </w:r>
          </w:p>
        </w:tc>
        <w:tc>
          <w:tcPr>
            <w:tcW w:w="810" w:type="dxa"/>
            <w:noWrap w:val="0"/>
            <w:vAlign w:val="center"/>
          </w:tcPr>
          <w:p w14:paraId="69582A10">
            <w:pPr>
              <w:spacing w:line="400" w:lineRule="exact"/>
              <w:ind w:left="624" w:hanging="623" w:hangingChars="297"/>
              <w:jc w:val="center"/>
              <w:rPr>
                <w:rFonts w:hint="eastAsia" w:ascii="宋体" w:hAnsi="宋体" w:cs="宋体"/>
                <w:bCs/>
                <w:szCs w:val="21"/>
              </w:rPr>
            </w:pPr>
            <w:r>
              <w:rPr>
                <w:rFonts w:hint="eastAsia" w:ascii="宋体" w:hAnsi="宋体" w:cs="宋体"/>
                <w:bCs/>
                <w:szCs w:val="21"/>
              </w:rPr>
              <w:t>权重</w:t>
            </w:r>
          </w:p>
        </w:tc>
        <w:tc>
          <w:tcPr>
            <w:tcW w:w="5931" w:type="dxa"/>
            <w:noWrap w:val="0"/>
            <w:vAlign w:val="center"/>
          </w:tcPr>
          <w:p w14:paraId="3B5F85C8">
            <w:pPr>
              <w:spacing w:line="400" w:lineRule="exact"/>
              <w:ind w:left="624" w:hanging="623" w:hangingChars="297"/>
              <w:jc w:val="center"/>
              <w:rPr>
                <w:rFonts w:hint="eastAsia" w:ascii="宋体" w:hAnsi="宋体" w:cs="宋体"/>
                <w:bCs/>
                <w:szCs w:val="21"/>
              </w:rPr>
            </w:pPr>
            <w:r>
              <w:rPr>
                <w:rFonts w:hint="eastAsia" w:ascii="宋体" w:hAnsi="宋体" w:cs="宋体"/>
                <w:bCs/>
                <w:szCs w:val="21"/>
              </w:rPr>
              <w:t>评分标准</w:t>
            </w:r>
          </w:p>
        </w:tc>
      </w:tr>
      <w:tr w14:paraId="1ABD8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dxa"/>
            <w:noWrap w:val="0"/>
            <w:vAlign w:val="center"/>
          </w:tcPr>
          <w:p w14:paraId="2EBA9378">
            <w:pPr>
              <w:widowControl/>
              <w:adjustRightInd w:val="0"/>
              <w:snapToGrid w:val="0"/>
              <w:spacing w:line="400" w:lineRule="exact"/>
              <w:jc w:val="left"/>
              <w:rPr>
                <w:rFonts w:hint="eastAsia" w:ascii="宋体" w:hAnsi="宋体" w:cs="宋体"/>
                <w:bCs/>
                <w:color w:val="auto"/>
                <w:kern w:val="0"/>
                <w:szCs w:val="21"/>
              </w:rPr>
            </w:pPr>
            <w:r>
              <w:rPr>
                <w:rFonts w:hint="eastAsia" w:ascii="宋体" w:hAnsi="宋体" w:cs="宋体"/>
                <w:bCs/>
                <w:color w:val="auto"/>
                <w:kern w:val="0"/>
                <w:szCs w:val="21"/>
              </w:rPr>
              <w:t>1</w:t>
            </w:r>
          </w:p>
        </w:tc>
        <w:tc>
          <w:tcPr>
            <w:tcW w:w="948" w:type="dxa"/>
            <w:noWrap w:val="0"/>
            <w:vAlign w:val="center"/>
          </w:tcPr>
          <w:p w14:paraId="402E5969">
            <w:pPr>
              <w:widowControl/>
              <w:adjustRightInd w:val="0"/>
              <w:snapToGrid w:val="0"/>
              <w:spacing w:line="400" w:lineRule="exact"/>
              <w:jc w:val="center"/>
              <w:rPr>
                <w:rFonts w:hint="eastAsia" w:ascii="宋体" w:hAnsi="宋体" w:cs="宋体"/>
                <w:bCs/>
                <w:color w:val="auto"/>
                <w:kern w:val="0"/>
                <w:szCs w:val="21"/>
              </w:rPr>
            </w:pPr>
            <w:r>
              <w:rPr>
                <w:rFonts w:hint="eastAsia" w:ascii="宋体" w:hAnsi="宋体" w:cs="宋体"/>
                <w:bCs/>
                <w:color w:val="auto"/>
                <w:kern w:val="0"/>
                <w:szCs w:val="21"/>
              </w:rPr>
              <w:t>价格部分</w:t>
            </w:r>
            <w:r>
              <w:rPr>
                <w:rFonts w:hint="eastAsia" w:ascii="宋体" w:hAnsi="宋体" w:cs="宋体"/>
                <w:bCs/>
                <w:color w:val="auto"/>
                <w:kern w:val="0"/>
                <w:szCs w:val="21"/>
                <w:lang w:val="en-US" w:eastAsia="zh-CN"/>
              </w:rPr>
              <w:t>2</w:t>
            </w:r>
            <w:r>
              <w:rPr>
                <w:rFonts w:hint="eastAsia" w:ascii="宋体" w:hAnsi="宋体" w:cs="宋体"/>
                <w:bCs/>
                <w:color w:val="auto"/>
                <w:kern w:val="0"/>
                <w:szCs w:val="21"/>
              </w:rPr>
              <w:t>0分</w:t>
            </w:r>
          </w:p>
        </w:tc>
        <w:tc>
          <w:tcPr>
            <w:tcW w:w="995" w:type="dxa"/>
            <w:noWrap w:val="0"/>
            <w:vAlign w:val="center"/>
          </w:tcPr>
          <w:p w14:paraId="5BE62D1A">
            <w:pPr>
              <w:adjustRightInd w:val="0"/>
              <w:snapToGrid w:val="0"/>
              <w:spacing w:before="156" w:beforeLines="50" w:after="156" w:afterLines="50" w:line="320" w:lineRule="exact"/>
              <w:jc w:val="center"/>
              <w:rPr>
                <w:rFonts w:hint="eastAsia" w:ascii="宋体" w:hAnsi="宋体" w:cs="宋体"/>
                <w:bCs/>
                <w:color w:val="auto"/>
                <w:sz w:val="22"/>
                <w:szCs w:val="22"/>
              </w:rPr>
            </w:pPr>
            <w:r>
              <w:rPr>
                <w:rFonts w:hint="eastAsia" w:ascii="宋体" w:hAnsi="宋体" w:cs="宋体"/>
                <w:bCs/>
                <w:color w:val="auto"/>
                <w:sz w:val="22"/>
                <w:szCs w:val="22"/>
              </w:rPr>
              <w:t>投标</w:t>
            </w:r>
          </w:p>
          <w:p w14:paraId="70A4F4E1">
            <w:pPr>
              <w:adjustRightInd w:val="0"/>
              <w:snapToGrid w:val="0"/>
              <w:spacing w:before="156" w:beforeLines="50" w:after="156" w:afterLines="50" w:line="320" w:lineRule="exact"/>
              <w:jc w:val="center"/>
              <w:rPr>
                <w:rFonts w:hint="eastAsia" w:ascii="宋体" w:hAnsi="宋体" w:cs="宋体"/>
                <w:bCs/>
                <w:color w:val="auto"/>
                <w:sz w:val="22"/>
                <w:szCs w:val="22"/>
              </w:rPr>
            </w:pPr>
            <w:r>
              <w:rPr>
                <w:rFonts w:hint="eastAsia" w:ascii="宋体" w:hAnsi="宋体" w:cs="宋体"/>
                <w:bCs/>
                <w:color w:val="auto"/>
                <w:sz w:val="22"/>
                <w:szCs w:val="22"/>
              </w:rPr>
              <w:t>报价</w:t>
            </w:r>
          </w:p>
        </w:tc>
        <w:tc>
          <w:tcPr>
            <w:tcW w:w="810" w:type="dxa"/>
            <w:noWrap w:val="0"/>
            <w:vAlign w:val="center"/>
          </w:tcPr>
          <w:p w14:paraId="4B470B71">
            <w:pPr>
              <w:adjustRightInd w:val="0"/>
              <w:snapToGrid w:val="0"/>
              <w:spacing w:before="156" w:beforeLines="50" w:after="156" w:afterLines="50" w:line="320" w:lineRule="exact"/>
              <w:jc w:val="center"/>
              <w:rPr>
                <w:rFonts w:hint="eastAsia" w:ascii="宋体" w:hAnsi="宋体" w:eastAsia="宋体" w:cs="宋体"/>
                <w:bCs/>
                <w:color w:val="auto"/>
                <w:sz w:val="22"/>
                <w:szCs w:val="22"/>
                <w:lang w:val="en-US" w:eastAsia="zh-CN"/>
              </w:rPr>
            </w:pPr>
            <w:r>
              <w:rPr>
                <w:rFonts w:hint="eastAsia" w:ascii="宋体" w:hAnsi="宋体" w:cs="宋体"/>
                <w:bCs/>
                <w:color w:val="auto"/>
                <w:sz w:val="22"/>
                <w:szCs w:val="22"/>
                <w:lang w:val="en-US" w:eastAsia="zh-CN"/>
              </w:rPr>
              <w:t>2</w:t>
            </w:r>
            <w:r>
              <w:rPr>
                <w:rFonts w:hint="eastAsia" w:ascii="宋体" w:hAnsi="宋体" w:cs="宋体"/>
                <w:bCs/>
                <w:color w:val="auto"/>
                <w:sz w:val="22"/>
                <w:szCs w:val="22"/>
              </w:rPr>
              <w:t>0</w:t>
            </w:r>
            <w:r>
              <w:rPr>
                <w:rFonts w:hint="eastAsia" w:ascii="宋体" w:hAnsi="宋体" w:cs="宋体"/>
                <w:bCs/>
                <w:color w:val="auto"/>
                <w:sz w:val="22"/>
                <w:szCs w:val="22"/>
                <w:lang w:val="en-US" w:eastAsia="zh-CN"/>
              </w:rPr>
              <w:t>分</w:t>
            </w:r>
          </w:p>
        </w:tc>
        <w:tc>
          <w:tcPr>
            <w:tcW w:w="5931" w:type="dxa"/>
            <w:noWrap w:val="0"/>
            <w:vAlign w:val="top"/>
          </w:tcPr>
          <w:p w14:paraId="19F8C08B">
            <w:pPr>
              <w:widowControl/>
              <w:adjustRightInd w:val="0"/>
              <w:snapToGrid w:val="0"/>
              <w:spacing w:line="400" w:lineRule="exact"/>
              <w:jc w:val="left"/>
              <w:rPr>
                <w:rFonts w:hint="eastAsia" w:ascii="宋体" w:hAnsi="宋体" w:cs="宋体"/>
                <w:bCs/>
                <w:color w:val="auto"/>
                <w:kern w:val="0"/>
                <w:szCs w:val="21"/>
              </w:rPr>
            </w:pPr>
            <w:r>
              <w:rPr>
                <w:rFonts w:hint="eastAsia" w:ascii="宋体" w:hAnsi="宋体" w:cs="宋体"/>
                <w:bCs/>
                <w:color w:val="auto"/>
                <w:kern w:val="0"/>
                <w:szCs w:val="21"/>
              </w:rPr>
              <w:t>以经评审满足比选文件要求且投标价格最低的投标报价为评标基准价，其价格得分计</w:t>
            </w:r>
            <w:r>
              <w:rPr>
                <w:rFonts w:hint="eastAsia" w:ascii="宋体" w:hAnsi="宋体" w:cs="宋体"/>
                <w:bCs/>
                <w:color w:val="auto"/>
                <w:kern w:val="0"/>
                <w:szCs w:val="21"/>
                <w:lang w:val="en-US" w:eastAsia="zh-CN"/>
              </w:rPr>
              <w:t>2</w:t>
            </w:r>
            <w:r>
              <w:rPr>
                <w:rFonts w:hint="eastAsia" w:ascii="宋体" w:hAnsi="宋体" w:cs="宋体"/>
                <w:bCs/>
                <w:color w:val="auto"/>
                <w:kern w:val="0"/>
                <w:szCs w:val="21"/>
              </w:rPr>
              <w:t>0分。其他供应商的价格得分统一按公式计算：</w:t>
            </w:r>
          </w:p>
          <w:p w14:paraId="491D21FE">
            <w:pPr>
              <w:widowControl/>
              <w:adjustRightInd w:val="0"/>
              <w:snapToGrid w:val="0"/>
              <w:spacing w:line="400" w:lineRule="exact"/>
              <w:jc w:val="left"/>
              <w:rPr>
                <w:rFonts w:hint="eastAsia" w:ascii="宋体" w:hAnsi="宋体" w:cs="宋体"/>
                <w:bCs/>
                <w:color w:val="auto"/>
                <w:kern w:val="0"/>
                <w:szCs w:val="21"/>
              </w:rPr>
            </w:pPr>
            <w:r>
              <w:rPr>
                <w:rFonts w:hint="eastAsia" w:ascii="宋体" w:hAnsi="宋体" w:cs="宋体"/>
                <w:bCs/>
                <w:color w:val="auto"/>
                <w:kern w:val="0"/>
                <w:szCs w:val="21"/>
              </w:rPr>
              <w:t>投标报价得分＝（评标基准价／投标报价）×</w:t>
            </w:r>
            <w:r>
              <w:rPr>
                <w:rFonts w:hint="eastAsia" w:ascii="宋体" w:hAnsi="宋体" w:cs="宋体"/>
                <w:bCs/>
                <w:color w:val="auto"/>
                <w:kern w:val="0"/>
                <w:szCs w:val="21"/>
                <w:lang w:val="en-US" w:eastAsia="zh-CN"/>
              </w:rPr>
              <w:t>2</w:t>
            </w:r>
            <w:r>
              <w:rPr>
                <w:rFonts w:hint="eastAsia" w:ascii="宋体" w:hAnsi="宋体" w:cs="宋体"/>
                <w:bCs/>
                <w:color w:val="auto"/>
                <w:kern w:val="0"/>
                <w:szCs w:val="21"/>
              </w:rPr>
              <w:t>0</w:t>
            </w:r>
          </w:p>
        </w:tc>
      </w:tr>
      <w:tr w14:paraId="064D2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8" w:hRule="atLeast"/>
          <w:jc w:val="center"/>
        </w:trPr>
        <w:tc>
          <w:tcPr>
            <w:tcW w:w="425" w:type="dxa"/>
            <w:vMerge w:val="restart"/>
            <w:noWrap w:val="0"/>
            <w:vAlign w:val="center"/>
          </w:tcPr>
          <w:p w14:paraId="095D7DF3">
            <w:pPr>
              <w:spacing w:line="400" w:lineRule="exact"/>
              <w:ind w:left="624" w:hanging="623" w:hangingChars="297"/>
              <w:jc w:val="center"/>
              <w:rPr>
                <w:rFonts w:hint="eastAsia" w:ascii="宋体" w:hAnsi="宋体" w:cs="宋体"/>
                <w:bCs/>
                <w:color w:val="auto"/>
                <w:szCs w:val="21"/>
              </w:rPr>
            </w:pPr>
            <w:r>
              <w:rPr>
                <w:rFonts w:hint="eastAsia" w:ascii="宋体" w:hAnsi="宋体" w:cs="宋体"/>
                <w:bCs/>
                <w:color w:val="auto"/>
                <w:szCs w:val="21"/>
              </w:rPr>
              <w:t>2</w:t>
            </w:r>
          </w:p>
        </w:tc>
        <w:tc>
          <w:tcPr>
            <w:tcW w:w="948" w:type="dxa"/>
            <w:vMerge w:val="restart"/>
            <w:noWrap w:val="0"/>
            <w:vAlign w:val="center"/>
          </w:tcPr>
          <w:p w14:paraId="3BBC9016">
            <w:pPr>
              <w:spacing w:line="400" w:lineRule="exact"/>
              <w:ind w:left="624" w:hanging="623" w:hangingChars="297"/>
              <w:jc w:val="center"/>
              <w:rPr>
                <w:rFonts w:hint="eastAsia" w:ascii="宋体" w:hAnsi="宋体" w:cs="宋体"/>
                <w:bCs/>
                <w:color w:val="auto"/>
                <w:szCs w:val="21"/>
              </w:rPr>
            </w:pPr>
            <w:r>
              <w:rPr>
                <w:rFonts w:hint="eastAsia" w:ascii="宋体" w:hAnsi="宋体" w:cs="宋体"/>
                <w:bCs/>
                <w:color w:val="auto"/>
                <w:szCs w:val="21"/>
              </w:rPr>
              <w:t>技术</w:t>
            </w:r>
          </w:p>
          <w:p w14:paraId="15874A51">
            <w:pPr>
              <w:spacing w:line="400" w:lineRule="exact"/>
              <w:ind w:left="624" w:hanging="623" w:hangingChars="297"/>
              <w:jc w:val="center"/>
              <w:rPr>
                <w:rFonts w:hint="eastAsia" w:ascii="宋体" w:hAnsi="宋体" w:cs="宋体"/>
                <w:bCs/>
                <w:color w:val="auto"/>
                <w:szCs w:val="21"/>
              </w:rPr>
            </w:pPr>
            <w:r>
              <w:rPr>
                <w:rFonts w:hint="eastAsia" w:ascii="宋体" w:hAnsi="宋体" w:cs="宋体"/>
                <w:bCs/>
                <w:color w:val="auto"/>
                <w:szCs w:val="21"/>
              </w:rPr>
              <w:t>部分</w:t>
            </w:r>
          </w:p>
          <w:p w14:paraId="18EF79AD">
            <w:pPr>
              <w:spacing w:line="400" w:lineRule="exact"/>
              <w:ind w:left="624" w:hanging="623" w:hangingChars="297"/>
              <w:jc w:val="center"/>
              <w:rPr>
                <w:rFonts w:hint="eastAsia" w:ascii="宋体" w:hAnsi="宋体" w:cs="宋体"/>
                <w:bCs/>
                <w:color w:val="auto"/>
                <w:szCs w:val="21"/>
              </w:rPr>
            </w:pPr>
            <w:r>
              <w:rPr>
                <w:rFonts w:hint="eastAsia" w:ascii="宋体" w:hAnsi="宋体" w:cs="宋体"/>
                <w:bCs/>
                <w:color w:val="auto"/>
                <w:szCs w:val="21"/>
                <w:lang w:val="en-US" w:eastAsia="zh-CN"/>
              </w:rPr>
              <w:t>6</w:t>
            </w:r>
            <w:r>
              <w:rPr>
                <w:rFonts w:hint="eastAsia" w:ascii="宋体" w:hAnsi="宋体" w:cs="宋体"/>
                <w:bCs/>
                <w:color w:val="auto"/>
                <w:szCs w:val="21"/>
              </w:rPr>
              <w:t>0分</w:t>
            </w:r>
          </w:p>
        </w:tc>
        <w:tc>
          <w:tcPr>
            <w:tcW w:w="995" w:type="dxa"/>
            <w:noWrap w:val="0"/>
            <w:vAlign w:val="center"/>
          </w:tcPr>
          <w:p w14:paraId="71967A47">
            <w:pPr>
              <w:spacing w:line="400" w:lineRule="exact"/>
              <w:jc w:val="center"/>
              <w:rPr>
                <w:rFonts w:ascii="宋体" w:hAnsi="宋体" w:cs="宋体"/>
                <w:color w:val="auto"/>
                <w:kern w:val="0"/>
                <w:szCs w:val="21"/>
                <w:lang w:bidi="ar"/>
              </w:rPr>
            </w:pPr>
            <w:r>
              <w:rPr>
                <w:rFonts w:hint="eastAsia" w:ascii="宋体" w:hAnsi="宋体" w:eastAsia="宋体" w:cs="宋体"/>
                <w:color w:val="auto"/>
                <w:kern w:val="2"/>
                <w:sz w:val="21"/>
                <w:szCs w:val="21"/>
                <w:lang w:val="en-US" w:eastAsia="zh-CN" w:bidi="ar-SA"/>
              </w:rPr>
              <w:t>评估范围与内容完整性</w:t>
            </w:r>
          </w:p>
        </w:tc>
        <w:tc>
          <w:tcPr>
            <w:tcW w:w="810" w:type="dxa"/>
            <w:noWrap w:val="0"/>
            <w:vAlign w:val="center"/>
          </w:tcPr>
          <w:p w14:paraId="27BA9D0D">
            <w:pPr>
              <w:rPr>
                <w:rFonts w:ascii="宋体" w:hAnsi="宋体" w:cs="宋体"/>
                <w:color w:val="auto"/>
                <w:kern w:val="0"/>
                <w:szCs w:val="21"/>
                <w:lang w:bidi="ar"/>
              </w:rPr>
            </w:pPr>
            <w:r>
              <w:rPr>
                <w:rFonts w:hint="eastAsia" w:ascii="宋体" w:hAnsi="宋体" w:eastAsia="宋体" w:cs="宋体"/>
                <w:color w:val="auto"/>
                <w:kern w:val="2"/>
                <w:sz w:val="21"/>
                <w:szCs w:val="21"/>
                <w:lang w:val="en-US" w:eastAsia="zh-CN" w:bidi="ar-SA"/>
              </w:rPr>
              <w:t>12分</w:t>
            </w:r>
          </w:p>
        </w:tc>
        <w:tc>
          <w:tcPr>
            <w:tcW w:w="5931" w:type="dxa"/>
            <w:noWrap w:val="0"/>
            <w:vAlign w:val="center"/>
          </w:tcPr>
          <w:p w14:paraId="650BD41B">
            <w:pPr>
              <w:pStyle w:val="93"/>
              <w:numPr>
                <w:ilvl w:val="0"/>
                <w:numId w:val="0"/>
              </w:numPr>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方案明确涵盖申办大学的政策合规性、选址合理性、周边环境影响、社会舆论反馈与利益相关方（如周边居民、企业、现有学校）诉求等核心评估内容，满足招标需求且符合本项目实际情况的，计12分。存在缺项或漏项的，每项扣3分；内容有缺陷的，每项扣1.5分，直至扣完为止。缺陷包括：简单复制招标需求、不适用于项目实际情况、凭空编造、内容前后不一致、逻辑错误、涉及的规范及标准错误、不符合招标需求、不利于项目实施等情况。</w:t>
            </w:r>
          </w:p>
          <w:p w14:paraId="614808B9">
            <w:pPr>
              <w:pStyle w:val="93"/>
              <w:numPr>
                <w:ilvl w:val="0"/>
                <w:numId w:val="0"/>
              </w:numPr>
              <w:ind w:left="0" w:leftChars="0" w:firstLine="0" w:firstLineChars="0"/>
              <w:rPr>
                <w:rFonts w:hint="eastAsia" w:ascii="宋体" w:hAnsi="宋体" w:cs="宋体"/>
                <w:color w:val="auto"/>
                <w:kern w:val="0"/>
                <w:szCs w:val="21"/>
                <w:lang w:bidi="ar"/>
              </w:rPr>
            </w:pPr>
            <w:r>
              <w:rPr>
                <w:rFonts w:hint="eastAsia" w:ascii="宋体" w:hAnsi="宋体" w:eastAsia="宋体" w:cs="宋体"/>
                <w:color w:val="auto"/>
                <w:kern w:val="2"/>
                <w:sz w:val="21"/>
                <w:szCs w:val="21"/>
                <w:lang w:val="en-US" w:eastAsia="zh-CN" w:bidi="ar-SA"/>
              </w:rPr>
              <w:t>未提供方案的不计分。</w:t>
            </w:r>
          </w:p>
        </w:tc>
      </w:tr>
      <w:tr w14:paraId="11769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4" w:hRule="atLeast"/>
          <w:jc w:val="center"/>
        </w:trPr>
        <w:tc>
          <w:tcPr>
            <w:tcW w:w="425" w:type="dxa"/>
            <w:vMerge w:val="continue"/>
            <w:noWrap w:val="0"/>
            <w:vAlign w:val="center"/>
          </w:tcPr>
          <w:p w14:paraId="503685B0">
            <w:pPr>
              <w:spacing w:line="400" w:lineRule="exact"/>
              <w:ind w:left="624" w:hanging="623" w:hangingChars="297"/>
              <w:jc w:val="center"/>
              <w:rPr>
                <w:rFonts w:hint="eastAsia" w:ascii="宋体" w:hAnsi="宋体" w:cs="宋体"/>
                <w:bCs/>
                <w:color w:val="auto"/>
                <w:szCs w:val="21"/>
              </w:rPr>
            </w:pPr>
          </w:p>
        </w:tc>
        <w:tc>
          <w:tcPr>
            <w:tcW w:w="948" w:type="dxa"/>
            <w:vMerge w:val="continue"/>
            <w:noWrap w:val="0"/>
            <w:vAlign w:val="center"/>
          </w:tcPr>
          <w:p w14:paraId="016D6B82">
            <w:pPr>
              <w:spacing w:line="400" w:lineRule="exact"/>
              <w:ind w:left="624" w:hanging="623" w:hangingChars="297"/>
              <w:jc w:val="center"/>
              <w:rPr>
                <w:rFonts w:hint="eastAsia" w:ascii="宋体" w:hAnsi="宋体" w:cs="宋体"/>
                <w:bCs/>
                <w:color w:val="auto"/>
                <w:szCs w:val="21"/>
              </w:rPr>
            </w:pPr>
          </w:p>
        </w:tc>
        <w:tc>
          <w:tcPr>
            <w:tcW w:w="995" w:type="dxa"/>
            <w:noWrap w:val="0"/>
            <w:vAlign w:val="center"/>
          </w:tcPr>
          <w:p w14:paraId="3B4BA6D7">
            <w:pPr>
              <w:spacing w:line="400" w:lineRule="exact"/>
              <w:jc w:val="center"/>
              <w:rPr>
                <w:rFonts w:ascii="宋体" w:hAnsi="宋体" w:cs="宋体"/>
                <w:bCs/>
                <w:color w:val="auto"/>
                <w:sz w:val="22"/>
                <w:szCs w:val="22"/>
              </w:rPr>
            </w:pPr>
            <w:r>
              <w:rPr>
                <w:rFonts w:hint="eastAsia" w:ascii="宋体" w:hAnsi="宋体" w:cs="宋体"/>
                <w:color w:val="auto"/>
                <w:kern w:val="2"/>
                <w:sz w:val="21"/>
                <w:szCs w:val="21"/>
                <w:lang w:val="en-US" w:eastAsia="zh-CN" w:bidi="ar-SA"/>
              </w:rPr>
              <w:t>评</w:t>
            </w:r>
            <w:r>
              <w:rPr>
                <w:rFonts w:hint="eastAsia" w:ascii="宋体" w:hAnsi="宋体" w:eastAsia="宋体" w:cs="宋体"/>
                <w:color w:val="auto"/>
                <w:kern w:val="2"/>
                <w:sz w:val="21"/>
                <w:szCs w:val="21"/>
                <w:lang w:val="en-US" w:eastAsia="zh-CN" w:bidi="ar-SA"/>
              </w:rPr>
              <w:t>估方法科学性与可行性</w:t>
            </w:r>
          </w:p>
        </w:tc>
        <w:tc>
          <w:tcPr>
            <w:tcW w:w="810" w:type="dxa"/>
            <w:noWrap w:val="0"/>
            <w:vAlign w:val="center"/>
          </w:tcPr>
          <w:p w14:paraId="44B891F9">
            <w:pPr>
              <w:rPr>
                <w:rFonts w:hint="eastAsia" w:ascii="宋体" w:hAnsi="宋体" w:cs="宋体"/>
                <w:bCs/>
                <w:color w:val="auto"/>
                <w:sz w:val="22"/>
                <w:szCs w:val="22"/>
              </w:rPr>
            </w:pPr>
            <w:r>
              <w:rPr>
                <w:rFonts w:hint="eastAsia" w:ascii="宋体" w:hAnsi="宋体" w:eastAsia="宋体" w:cs="宋体"/>
                <w:color w:val="auto"/>
                <w:kern w:val="2"/>
                <w:sz w:val="21"/>
                <w:szCs w:val="21"/>
                <w:lang w:val="en-US" w:eastAsia="zh-CN" w:bidi="ar-SA"/>
              </w:rPr>
              <w:t>15分</w:t>
            </w:r>
          </w:p>
        </w:tc>
        <w:tc>
          <w:tcPr>
            <w:tcW w:w="5931" w:type="dxa"/>
            <w:noWrap w:val="0"/>
            <w:vAlign w:val="center"/>
          </w:tcPr>
          <w:p w14:paraId="289A551D">
            <w:pPr>
              <w:pStyle w:val="93"/>
              <w:numPr>
                <w:ilvl w:val="0"/>
                <w:numId w:val="0"/>
              </w:numPr>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综合运用文献研究、实地调研（如问卷调查、访谈）、专家论证、风险识别矩阵、数据分析等多种科学方法，且方法与评估内容匹配度高，可操作性强，满足招标需求且符合本项目实际情况的，计15分。存在缺项或漏项的，每项扣3分；内容有缺陷的，每项扣1.5分，直至扣完为止。缺陷包括：简单复制招标需求、不适用于项目实际情况、凭空编造、内容前后不一致、逻辑错误、涉及的规范及标准错误、不符合招标需求、不利于项目实施等情况。</w:t>
            </w:r>
          </w:p>
          <w:p w14:paraId="0D2AAE25">
            <w:pPr>
              <w:pStyle w:val="93"/>
              <w:numPr>
                <w:ilvl w:val="0"/>
                <w:numId w:val="0"/>
              </w:numPr>
              <w:ind w:left="0" w:leftChars="0" w:firstLine="0" w:firstLineChars="0"/>
              <w:rPr>
                <w:rFonts w:hint="eastAsia" w:ascii="宋体" w:hAnsi="宋体" w:cs="宋体"/>
                <w:bCs/>
                <w:color w:val="auto"/>
                <w:kern w:val="0"/>
                <w:szCs w:val="21"/>
              </w:rPr>
            </w:pPr>
            <w:r>
              <w:rPr>
                <w:rFonts w:hint="eastAsia" w:ascii="宋体" w:hAnsi="宋体" w:eastAsia="宋体" w:cs="宋体"/>
                <w:color w:val="auto"/>
                <w:kern w:val="2"/>
                <w:sz w:val="21"/>
                <w:szCs w:val="21"/>
                <w:lang w:val="en-US" w:eastAsia="zh-CN" w:bidi="ar-SA"/>
              </w:rPr>
              <w:t>未提供方案的不计分。</w:t>
            </w:r>
          </w:p>
        </w:tc>
      </w:tr>
      <w:tr w14:paraId="2452C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425" w:type="dxa"/>
            <w:vMerge w:val="continue"/>
            <w:noWrap w:val="0"/>
            <w:vAlign w:val="center"/>
          </w:tcPr>
          <w:p w14:paraId="34D95E41">
            <w:pPr>
              <w:widowControl/>
              <w:adjustRightInd w:val="0"/>
              <w:snapToGrid w:val="0"/>
              <w:spacing w:line="400" w:lineRule="exact"/>
              <w:jc w:val="left"/>
              <w:rPr>
                <w:rFonts w:hint="eastAsia" w:ascii="宋体" w:hAnsi="宋体" w:cs="宋体"/>
                <w:bCs/>
                <w:color w:val="auto"/>
                <w:szCs w:val="21"/>
              </w:rPr>
            </w:pPr>
          </w:p>
        </w:tc>
        <w:tc>
          <w:tcPr>
            <w:tcW w:w="948" w:type="dxa"/>
            <w:vMerge w:val="continue"/>
            <w:noWrap w:val="0"/>
            <w:vAlign w:val="center"/>
          </w:tcPr>
          <w:p w14:paraId="0C14352E">
            <w:pPr>
              <w:widowControl/>
              <w:adjustRightInd w:val="0"/>
              <w:snapToGrid w:val="0"/>
              <w:spacing w:line="400" w:lineRule="exact"/>
              <w:jc w:val="left"/>
              <w:rPr>
                <w:rFonts w:hint="eastAsia" w:ascii="宋体" w:hAnsi="宋体" w:cs="宋体"/>
                <w:bCs/>
                <w:color w:val="auto"/>
                <w:szCs w:val="21"/>
              </w:rPr>
            </w:pPr>
          </w:p>
        </w:tc>
        <w:tc>
          <w:tcPr>
            <w:tcW w:w="995" w:type="dxa"/>
            <w:noWrap w:val="0"/>
            <w:vAlign w:val="center"/>
          </w:tcPr>
          <w:p w14:paraId="35FE567E">
            <w:pPr>
              <w:spacing w:line="400" w:lineRule="exact"/>
              <w:jc w:val="center"/>
              <w:rPr>
                <w:rFonts w:hint="eastAsia" w:ascii="宋体" w:hAnsi="宋体" w:cs="宋体"/>
                <w:bCs/>
                <w:color w:val="auto"/>
                <w:sz w:val="22"/>
                <w:szCs w:val="22"/>
              </w:rPr>
            </w:pPr>
            <w:r>
              <w:rPr>
                <w:rFonts w:hint="eastAsia" w:ascii="宋体" w:hAnsi="宋体" w:eastAsia="宋体" w:cs="宋体"/>
                <w:color w:val="auto"/>
                <w:kern w:val="2"/>
                <w:sz w:val="21"/>
                <w:szCs w:val="21"/>
                <w:lang w:val="en-US" w:eastAsia="zh-CN" w:bidi="ar-SA"/>
              </w:rPr>
              <w:t>风险识别与应对策略</w:t>
            </w:r>
          </w:p>
        </w:tc>
        <w:tc>
          <w:tcPr>
            <w:tcW w:w="810" w:type="dxa"/>
            <w:noWrap w:val="0"/>
            <w:vAlign w:val="center"/>
          </w:tcPr>
          <w:p w14:paraId="4A4C2911">
            <w:pPr>
              <w:rPr>
                <w:rFonts w:hint="eastAsia" w:ascii="宋体" w:hAnsi="宋体" w:cs="宋体"/>
                <w:bCs/>
                <w:color w:val="auto"/>
                <w:sz w:val="22"/>
                <w:szCs w:val="22"/>
              </w:rPr>
            </w:pPr>
            <w:r>
              <w:rPr>
                <w:rFonts w:hint="eastAsia" w:ascii="宋体" w:hAnsi="宋体" w:eastAsia="宋体" w:cs="宋体"/>
                <w:color w:val="auto"/>
                <w:kern w:val="2"/>
                <w:sz w:val="21"/>
                <w:szCs w:val="21"/>
                <w:lang w:val="en-US" w:eastAsia="zh-CN" w:bidi="ar-SA"/>
              </w:rPr>
              <w:t>12分</w:t>
            </w:r>
          </w:p>
        </w:tc>
        <w:tc>
          <w:tcPr>
            <w:tcW w:w="5931" w:type="dxa"/>
            <w:noWrap w:val="0"/>
            <w:vAlign w:val="center"/>
          </w:tcPr>
          <w:p w14:paraId="27E8CF27">
            <w:pPr>
              <w:pStyle w:val="93"/>
              <w:numPr>
                <w:ilvl w:val="0"/>
                <w:numId w:val="0"/>
              </w:numPr>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能够全面识别申办过程中可能存在的政策风险、社会矛盾风险、环境风险等，且针对每项风险制定具体、可落地的应对措施（如沟通协调机制、风险化解方案），满足招标需求且符合本项目实际情况的，计12分。存在缺项或漏项的，每项扣3分；内容有缺陷的，每项扣1.5分，直至扣完为止。缺陷包括：简单复制招标需求、不适用于项目实际情况、凭空编造、内容前后不一致、逻辑错误、涉及的规范及标准错误、不符合招标需求、不利于项目实施等情况。</w:t>
            </w:r>
          </w:p>
          <w:p w14:paraId="1439D9A0">
            <w:pPr>
              <w:pStyle w:val="93"/>
              <w:numPr>
                <w:ilvl w:val="0"/>
                <w:numId w:val="0"/>
              </w:numPr>
              <w:ind w:left="0" w:leftChars="0" w:firstLine="0" w:firstLineChars="0"/>
              <w:rPr>
                <w:rFonts w:hint="eastAsia" w:ascii="宋体" w:hAnsi="宋体" w:cs="宋体"/>
                <w:bCs/>
                <w:color w:val="auto"/>
                <w:kern w:val="0"/>
                <w:szCs w:val="21"/>
              </w:rPr>
            </w:pPr>
            <w:r>
              <w:rPr>
                <w:rFonts w:hint="eastAsia" w:ascii="宋体" w:hAnsi="宋体" w:eastAsia="宋体" w:cs="宋体"/>
                <w:color w:val="auto"/>
                <w:kern w:val="2"/>
                <w:sz w:val="21"/>
                <w:szCs w:val="21"/>
                <w:lang w:val="en-US" w:eastAsia="zh-CN" w:bidi="ar-SA"/>
              </w:rPr>
              <w:t>未提供方案的不计分。</w:t>
            </w:r>
          </w:p>
        </w:tc>
      </w:tr>
      <w:tr w14:paraId="03A5D3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425" w:type="dxa"/>
            <w:vMerge w:val="continue"/>
            <w:noWrap w:val="0"/>
            <w:vAlign w:val="center"/>
          </w:tcPr>
          <w:p w14:paraId="4A6A03EF">
            <w:pPr>
              <w:widowControl/>
              <w:adjustRightInd w:val="0"/>
              <w:snapToGrid w:val="0"/>
              <w:spacing w:line="400" w:lineRule="exact"/>
              <w:jc w:val="left"/>
              <w:rPr>
                <w:rFonts w:hint="eastAsia" w:ascii="宋体" w:hAnsi="宋体" w:cs="宋体"/>
                <w:bCs/>
                <w:color w:val="auto"/>
                <w:szCs w:val="21"/>
              </w:rPr>
            </w:pPr>
          </w:p>
        </w:tc>
        <w:tc>
          <w:tcPr>
            <w:tcW w:w="948" w:type="dxa"/>
            <w:vMerge w:val="continue"/>
            <w:noWrap w:val="0"/>
            <w:vAlign w:val="center"/>
          </w:tcPr>
          <w:p w14:paraId="3C674E73">
            <w:pPr>
              <w:widowControl/>
              <w:adjustRightInd w:val="0"/>
              <w:snapToGrid w:val="0"/>
              <w:spacing w:line="400" w:lineRule="exact"/>
              <w:jc w:val="left"/>
              <w:rPr>
                <w:rFonts w:hint="eastAsia" w:ascii="宋体" w:hAnsi="宋体" w:cs="宋体"/>
                <w:bCs/>
                <w:color w:val="auto"/>
                <w:szCs w:val="21"/>
              </w:rPr>
            </w:pPr>
          </w:p>
        </w:tc>
        <w:tc>
          <w:tcPr>
            <w:tcW w:w="995" w:type="dxa"/>
            <w:shd w:val="clear" w:color="auto" w:fill="auto"/>
            <w:noWrap w:val="0"/>
            <w:vAlign w:val="center"/>
          </w:tcPr>
          <w:p w14:paraId="19970DF3">
            <w:pPr>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项目进度保障</w:t>
            </w:r>
          </w:p>
        </w:tc>
        <w:tc>
          <w:tcPr>
            <w:tcW w:w="810" w:type="dxa"/>
            <w:shd w:val="clear" w:color="auto" w:fill="auto"/>
            <w:noWrap w:val="0"/>
            <w:vAlign w:val="center"/>
          </w:tcPr>
          <w:p w14:paraId="66593F5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9分</w:t>
            </w:r>
          </w:p>
        </w:tc>
        <w:tc>
          <w:tcPr>
            <w:tcW w:w="5931" w:type="dxa"/>
            <w:shd w:val="clear" w:color="auto" w:fill="auto"/>
            <w:noWrap w:val="0"/>
            <w:vAlign w:val="center"/>
          </w:tcPr>
          <w:p w14:paraId="60CC0468">
            <w:pPr>
              <w:pStyle w:val="93"/>
              <w:numPr>
                <w:ilvl w:val="0"/>
                <w:numId w:val="0"/>
              </w:numPr>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方案制定详细的项目进度计划，明确各阶段（如前期调研、报告撰写、专家评审、修改完善）时间节点，进度安排合理，能满足招标方要求的报告交付期限，满足招标需求且符合本项目实际情况的，计9分。存在缺项或漏项的，每项扣3分；内容有缺陷的，每项扣1.5分，直至扣完为止。缺陷包括：简单复制招标需求、不适用于项目实际情况、凭空编造、内容前后不一致、逻辑错误、涉及的规范及标准错误、不符合招标需求、不利于项目实施等情况。</w:t>
            </w:r>
          </w:p>
          <w:p w14:paraId="1A8D97A9">
            <w:pPr>
              <w:pStyle w:val="93"/>
              <w:numPr>
                <w:ilvl w:val="0"/>
                <w:numId w:val="0"/>
              </w:numPr>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未提供方案的不计分。</w:t>
            </w:r>
          </w:p>
        </w:tc>
      </w:tr>
      <w:tr w14:paraId="1A709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4" w:hRule="atLeast"/>
          <w:jc w:val="center"/>
        </w:trPr>
        <w:tc>
          <w:tcPr>
            <w:tcW w:w="425" w:type="dxa"/>
            <w:vMerge w:val="continue"/>
            <w:noWrap w:val="0"/>
            <w:vAlign w:val="center"/>
          </w:tcPr>
          <w:p w14:paraId="314C75F0">
            <w:pPr>
              <w:widowControl/>
              <w:adjustRightInd w:val="0"/>
              <w:snapToGrid w:val="0"/>
              <w:spacing w:line="400" w:lineRule="exact"/>
              <w:jc w:val="left"/>
              <w:rPr>
                <w:rFonts w:hint="eastAsia" w:ascii="宋体" w:hAnsi="宋体" w:cs="宋体"/>
                <w:bCs/>
                <w:color w:val="auto"/>
                <w:szCs w:val="21"/>
              </w:rPr>
            </w:pPr>
          </w:p>
        </w:tc>
        <w:tc>
          <w:tcPr>
            <w:tcW w:w="948" w:type="dxa"/>
            <w:vMerge w:val="continue"/>
            <w:noWrap w:val="0"/>
            <w:vAlign w:val="center"/>
          </w:tcPr>
          <w:p w14:paraId="401CE847">
            <w:pPr>
              <w:widowControl/>
              <w:adjustRightInd w:val="0"/>
              <w:snapToGrid w:val="0"/>
              <w:spacing w:line="400" w:lineRule="exact"/>
              <w:jc w:val="left"/>
              <w:rPr>
                <w:rFonts w:hint="eastAsia" w:ascii="宋体" w:hAnsi="宋体" w:cs="宋体"/>
                <w:bCs/>
                <w:color w:val="auto"/>
                <w:szCs w:val="21"/>
              </w:rPr>
            </w:pPr>
          </w:p>
        </w:tc>
        <w:tc>
          <w:tcPr>
            <w:tcW w:w="995" w:type="dxa"/>
            <w:shd w:val="clear" w:color="auto" w:fill="auto"/>
            <w:noWrap w:val="0"/>
            <w:vAlign w:val="center"/>
          </w:tcPr>
          <w:p w14:paraId="4D96DFA9">
            <w:pPr>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沟通与售后保障</w:t>
            </w:r>
          </w:p>
        </w:tc>
        <w:tc>
          <w:tcPr>
            <w:tcW w:w="810" w:type="dxa"/>
            <w:shd w:val="clear" w:color="auto" w:fill="auto"/>
            <w:noWrap w:val="0"/>
            <w:vAlign w:val="center"/>
          </w:tcPr>
          <w:p w14:paraId="5903EF9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6分</w:t>
            </w:r>
          </w:p>
        </w:tc>
        <w:tc>
          <w:tcPr>
            <w:tcW w:w="5931" w:type="dxa"/>
            <w:shd w:val="clear" w:color="auto" w:fill="auto"/>
            <w:noWrap w:val="0"/>
            <w:vAlign w:val="center"/>
          </w:tcPr>
          <w:p w14:paraId="1920B91A">
            <w:pPr>
              <w:pStyle w:val="93"/>
              <w:numPr>
                <w:ilvl w:val="0"/>
                <w:numId w:val="0"/>
              </w:numPr>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立完善的沟通机制（如定期汇报、专项沟通会议），承诺及时响应招标方需求，且提供报告提交后的修改服务（如根据评审意见修改、配合项目审批过程中的补充说明），满足招标需求且符合本项目实际情况的，计6分。存在缺项或漏项的，每项扣2分；内容有缺陷的，每项扣1分，直至扣完为止。缺陷包括：简单复制招标需求、不适用于项目实际情况、凭空编造、内容前后不一致、逻辑错误、涉及的规范及标准错误、不符合招标需求、不利于项目实施等情况。</w:t>
            </w:r>
          </w:p>
          <w:p w14:paraId="3552D302">
            <w:pPr>
              <w:pStyle w:val="93"/>
              <w:numPr>
                <w:ilvl w:val="0"/>
                <w:numId w:val="0"/>
              </w:numPr>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未提供方案的不计分。</w:t>
            </w:r>
          </w:p>
        </w:tc>
      </w:tr>
      <w:tr w14:paraId="06962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425" w:type="dxa"/>
            <w:vMerge w:val="continue"/>
            <w:noWrap w:val="0"/>
            <w:vAlign w:val="center"/>
          </w:tcPr>
          <w:p w14:paraId="10965548">
            <w:pPr>
              <w:widowControl/>
              <w:adjustRightInd w:val="0"/>
              <w:snapToGrid w:val="0"/>
              <w:spacing w:line="400" w:lineRule="exact"/>
              <w:jc w:val="left"/>
              <w:rPr>
                <w:rFonts w:hint="eastAsia" w:ascii="宋体" w:hAnsi="宋体" w:cs="宋体"/>
                <w:bCs/>
                <w:color w:val="auto"/>
                <w:szCs w:val="21"/>
              </w:rPr>
            </w:pPr>
          </w:p>
        </w:tc>
        <w:tc>
          <w:tcPr>
            <w:tcW w:w="948" w:type="dxa"/>
            <w:vMerge w:val="continue"/>
            <w:noWrap w:val="0"/>
            <w:vAlign w:val="center"/>
          </w:tcPr>
          <w:p w14:paraId="5F39D396">
            <w:pPr>
              <w:widowControl/>
              <w:adjustRightInd w:val="0"/>
              <w:snapToGrid w:val="0"/>
              <w:spacing w:line="400" w:lineRule="exact"/>
              <w:jc w:val="left"/>
              <w:rPr>
                <w:rFonts w:hint="eastAsia" w:ascii="宋体" w:hAnsi="宋体" w:cs="宋体"/>
                <w:bCs/>
                <w:color w:val="auto"/>
                <w:szCs w:val="21"/>
              </w:rPr>
            </w:pPr>
          </w:p>
        </w:tc>
        <w:tc>
          <w:tcPr>
            <w:tcW w:w="995" w:type="dxa"/>
            <w:noWrap w:val="0"/>
            <w:vAlign w:val="center"/>
          </w:tcPr>
          <w:p w14:paraId="257BDFD2">
            <w:pPr>
              <w:spacing w:line="400" w:lineRule="exact"/>
              <w:jc w:val="center"/>
              <w:rPr>
                <w:rFonts w:ascii="宋体" w:hAnsi="宋体" w:cs="宋体"/>
                <w:bCs/>
                <w:color w:val="auto"/>
                <w:sz w:val="22"/>
                <w:szCs w:val="22"/>
              </w:rPr>
            </w:pPr>
            <w:r>
              <w:rPr>
                <w:rFonts w:hint="eastAsia" w:ascii="宋体" w:hAnsi="宋体" w:eastAsia="宋体" w:cs="宋体"/>
                <w:color w:val="auto"/>
                <w:kern w:val="2"/>
                <w:sz w:val="21"/>
                <w:szCs w:val="21"/>
                <w:lang w:val="en-US" w:eastAsia="zh-CN" w:bidi="ar-SA"/>
              </w:rPr>
              <w:t>质量控制体系</w:t>
            </w:r>
          </w:p>
        </w:tc>
        <w:tc>
          <w:tcPr>
            <w:tcW w:w="810" w:type="dxa"/>
            <w:noWrap w:val="0"/>
            <w:vAlign w:val="center"/>
          </w:tcPr>
          <w:p w14:paraId="35BF67CF">
            <w:pPr>
              <w:rPr>
                <w:rFonts w:ascii="宋体" w:hAnsi="宋体" w:cs="宋体"/>
                <w:bCs/>
                <w:color w:val="auto"/>
                <w:sz w:val="22"/>
                <w:szCs w:val="22"/>
              </w:rPr>
            </w:pPr>
            <w:r>
              <w:rPr>
                <w:rFonts w:hint="eastAsia" w:ascii="宋体" w:hAnsi="宋体" w:eastAsia="宋体" w:cs="宋体"/>
                <w:color w:val="auto"/>
                <w:kern w:val="2"/>
                <w:sz w:val="21"/>
                <w:szCs w:val="21"/>
                <w:lang w:val="en-US" w:eastAsia="zh-CN" w:bidi="ar-SA"/>
              </w:rPr>
              <w:t>6分</w:t>
            </w:r>
          </w:p>
        </w:tc>
        <w:tc>
          <w:tcPr>
            <w:tcW w:w="5931" w:type="dxa"/>
            <w:noWrap w:val="0"/>
            <w:vAlign w:val="center"/>
          </w:tcPr>
          <w:p w14:paraId="167110CA">
            <w:pPr>
              <w:pStyle w:val="93"/>
              <w:numPr>
                <w:ilvl w:val="0"/>
                <w:numId w:val="0"/>
              </w:numPr>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立严格的质量控制流程（如三级审核制度：初稿审核、内部评审、最终定稿审核），明确质量责任人，能确保评估报告的准确性与合规性，满足招标需求且符合本项目实际情况的，计6分。存在缺项或漏项的，每项扣2分；内容有缺陷的，每项扣1分，直至扣完为止。缺陷包括：简单复制招标需求、不适用于项目实际情况、凭空编造、内容前后不一致、逻辑错误、涉及的规范及标准错误、不符合招标需求、不利于项目实施等情况。</w:t>
            </w:r>
          </w:p>
          <w:p w14:paraId="31FFE490">
            <w:pPr>
              <w:pStyle w:val="93"/>
              <w:numPr>
                <w:ilvl w:val="0"/>
                <w:numId w:val="0"/>
              </w:numPr>
              <w:ind w:left="0" w:leftChars="0" w:firstLine="0" w:firstLineChars="0"/>
              <w:rPr>
                <w:rFonts w:hint="eastAsia" w:ascii="宋体" w:hAnsi="宋体" w:cs="宋体"/>
                <w:bCs/>
                <w:color w:val="auto"/>
                <w:kern w:val="0"/>
                <w:szCs w:val="21"/>
              </w:rPr>
            </w:pPr>
            <w:r>
              <w:rPr>
                <w:rFonts w:hint="eastAsia" w:ascii="宋体" w:hAnsi="宋体" w:eastAsia="宋体" w:cs="宋体"/>
                <w:color w:val="auto"/>
                <w:kern w:val="2"/>
                <w:sz w:val="21"/>
                <w:szCs w:val="21"/>
                <w:lang w:val="en-US" w:eastAsia="zh-CN" w:bidi="ar-SA"/>
              </w:rPr>
              <w:t>未提供方案的不计分。</w:t>
            </w:r>
          </w:p>
        </w:tc>
      </w:tr>
      <w:tr w14:paraId="5F6C2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5" w:type="dxa"/>
            <w:noWrap w:val="0"/>
            <w:vAlign w:val="center"/>
          </w:tcPr>
          <w:p w14:paraId="315FEBA7">
            <w:pPr>
              <w:spacing w:line="400" w:lineRule="exact"/>
              <w:jc w:val="center"/>
              <w:rPr>
                <w:rFonts w:hint="eastAsia" w:ascii="宋体" w:hAnsi="宋体" w:cs="宋体"/>
                <w:bCs/>
                <w:color w:val="auto"/>
                <w:szCs w:val="21"/>
              </w:rPr>
            </w:pPr>
            <w:r>
              <w:rPr>
                <w:rFonts w:hint="eastAsia" w:ascii="宋体" w:hAnsi="宋体" w:cs="宋体"/>
                <w:bCs/>
                <w:color w:val="auto"/>
                <w:szCs w:val="21"/>
              </w:rPr>
              <w:t>3</w:t>
            </w:r>
          </w:p>
        </w:tc>
        <w:tc>
          <w:tcPr>
            <w:tcW w:w="948" w:type="dxa"/>
            <w:vMerge w:val="restart"/>
            <w:noWrap w:val="0"/>
            <w:vAlign w:val="center"/>
          </w:tcPr>
          <w:p w14:paraId="5D74C8BA">
            <w:pPr>
              <w:spacing w:line="400" w:lineRule="exact"/>
              <w:jc w:val="center"/>
              <w:rPr>
                <w:rFonts w:hint="eastAsia" w:ascii="宋体" w:hAnsi="宋体" w:cs="宋体"/>
                <w:bCs/>
                <w:color w:val="auto"/>
                <w:szCs w:val="21"/>
              </w:rPr>
            </w:pPr>
            <w:r>
              <w:rPr>
                <w:rFonts w:hint="eastAsia" w:ascii="宋体" w:hAnsi="宋体" w:cs="宋体"/>
                <w:bCs/>
                <w:color w:val="auto"/>
                <w:szCs w:val="21"/>
              </w:rPr>
              <w:t>商务部分</w:t>
            </w:r>
            <w:r>
              <w:rPr>
                <w:rFonts w:hint="eastAsia" w:ascii="宋体" w:hAnsi="宋体" w:cs="宋体"/>
                <w:bCs/>
                <w:color w:val="auto"/>
                <w:szCs w:val="21"/>
                <w:lang w:val="en-US" w:eastAsia="zh-CN"/>
              </w:rPr>
              <w:t>2</w:t>
            </w:r>
            <w:r>
              <w:rPr>
                <w:rFonts w:ascii="宋体" w:hAnsi="宋体" w:cs="宋体"/>
                <w:bCs/>
                <w:color w:val="auto"/>
                <w:szCs w:val="21"/>
              </w:rPr>
              <w:t>0</w:t>
            </w:r>
            <w:r>
              <w:rPr>
                <w:rFonts w:hint="eastAsia" w:ascii="宋体" w:hAnsi="宋体" w:cs="宋体"/>
                <w:bCs/>
                <w:color w:val="auto"/>
                <w:szCs w:val="21"/>
              </w:rPr>
              <w:t>分</w:t>
            </w:r>
          </w:p>
        </w:tc>
        <w:tc>
          <w:tcPr>
            <w:tcW w:w="995" w:type="dxa"/>
            <w:noWrap w:val="0"/>
            <w:vAlign w:val="center"/>
          </w:tcPr>
          <w:p w14:paraId="2D0F3ED7">
            <w:pPr>
              <w:adjustRightInd w:val="0"/>
              <w:snapToGrid w:val="0"/>
              <w:spacing w:before="156" w:beforeLines="50" w:after="156" w:afterLines="50" w:line="320" w:lineRule="exact"/>
              <w:jc w:val="center"/>
              <w:rPr>
                <w:rFonts w:hint="eastAsia" w:ascii="宋体" w:hAnsi="宋体" w:cs="宋体"/>
                <w:bCs/>
                <w:color w:val="auto"/>
                <w:sz w:val="22"/>
                <w:szCs w:val="22"/>
              </w:rPr>
            </w:pPr>
            <w:r>
              <w:rPr>
                <w:rFonts w:hint="eastAsia" w:ascii="宋体" w:hAnsi="宋体" w:cs="宋体"/>
                <w:bCs/>
                <w:color w:val="auto"/>
                <w:sz w:val="22"/>
                <w:szCs w:val="22"/>
              </w:rPr>
              <w:t>类似业绩</w:t>
            </w:r>
          </w:p>
        </w:tc>
        <w:tc>
          <w:tcPr>
            <w:tcW w:w="810" w:type="dxa"/>
            <w:noWrap w:val="0"/>
            <w:vAlign w:val="center"/>
          </w:tcPr>
          <w:p w14:paraId="442B7CEC">
            <w:pPr>
              <w:adjustRightInd w:val="0"/>
              <w:snapToGrid w:val="0"/>
              <w:spacing w:before="156" w:beforeLines="50" w:after="156" w:afterLines="50" w:line="320" w:lineRule="exact"/>
              <w:jc w:val="center"/>
              <w:rPr>
                <w:rFonts w:hint="eastAsia" w:ascii="宋体" w:hAnsi="宋体" w:eastAsia="宋体" w:cs="宋体"/>
                <w:bCs/>
                <w:color w:val="auto"/>
                <w:sz w:val="22"/>
                <w:szCs w:val="22"/>
                <w:lang w:val="en-US" w:eastAsia="zh-CN"/>
              </w:rPr>
            </w:pPr>
            <w:r>
              <w:rPr>
                <w:rFonts w:hint="eastAsia" w:ascii="宋体" w:hAnsi="宋体" w:cs="宋体"/>
                <w:bCs/>
                <w:color w:val="auto"/>
                <w:sz w:val="22"/>
                <w:szCs w:val="22"/>
              </w:rPr>
              <w:t>10</w:t>
            </w:r>
            <w:r>
              <w:rPr>
                <w:rFonts w:hint="eastAsia" w:ascii="宋体" w:hAnsi="宋体" w:cs="宋体"/>
                <w:bCs/>
                <w:color w:val="auto"/>
                <w:sz w:val="22"/>
                <w:szCs w:val="22"/>
                <w:lang w:val="en-US" w:eastAsia="zh-CN"/>
              </w:rPr>
              <w:t>分</w:t>
            </w:r>
          </w:p>
        </w:tc>
        <w:tc>
          <w:tcPr>
            <w:tcW w:w="5931" w:type="dxa"/>
            <w:noWrap w:val="0"/>
            <w:vAlign w:val="center"/>
          </w:tcPr>
          <w:p w14:paraId="3408A9E6">
            <w:pPr>
              <w:widowControl/>
              <w:adjustRightInd w:val="0"/>
              <w:snapToGrid w:val="0"/>
              <w:spacing w:line="400" w:lineRule="exact"/>
              <w:jc w:val="left"/>
              <w:rPr>
                <w:rFonts w:hint="eastAsia" w:ascii="宋体" w:hAnsi="宋体" w:cs="宋体"/>
                <w:bCs/>
                <w:color w:val="auto"/>
                <w:kern w:val="0"/>
                <w:szCs w:val="21"/>
              </w:rPr>
            </w:pPr>
            <w:r>
              <w:rPr>
                <w:rFonts w:hint="eastAsia" w:ascii="宋体" w:hAnsi="宋体" w:eastAsia="宋体" w:cs="宋体"/>
                <w:color w:val="auto"/>
                <w:szCs w:val="21"/>
                <w:lang w:val="en-US" w:eastAsia="zh-CN"/>
              </w:rPr>
              <w:t>投标人自</w:t>
            </w:r>
            <w:r>
              <w:rPr>
                <w:rFonts w:hint="eastAsia" w:ascii="宋体" w:hAnsi="宋体" w:eastAsia="宋体" w:cs="宋体"/>
                <w:color w:val="auto"/>
                <w:szCs w:val="21"/>
              </w:rPr>
              <w:t>2022年</w:t>
            </w:r>
            <w:r>
              <w:rPr>
                <w:rFonts w:hint="eastAsia" w:ascii="宋体" w:hAnsi="宋体" w:eastAsia="宋体" w:cs="宋体"/>
                <w:color w:val="auto"/>
                <w:szCs w:val="21"/>
                <w:lang w:val="en-US" w:eastAsia="zh-CN"/>
              </w:rPr>
              <w:t>9月1日起</w:t>
            </w:r>
            <w:r>
              <w:rPr>
                <w:rFonts w:hint="eastAsia" w:ascii="宋体" w:hAnsi="宋体" w:eastAsia="宋体" w:cs="宋体"/>
                <w:color w:val="auto"/>
                <w:szCs w:val="21"/>
              </w:rPr>
              <w:t>至投标截止时间止（时间以合同签订时间为准）</w:t>
            </w:r>
            <w:r>
              <w:rPr>
                <w:rFonts w:hint="eastAsia" w:ascii="宋体" w:hAnsi="宋体" w:eastAsia="宋体" w:cs="宋体"/>
                <w:color w:val="auto"/>
                <w:szCs w:val="21"/>
                <w:lang w:eastAsia="zh-CN"/>
              </w:rPr>
              <w:t>，</w:t>
            </w:r>
            <w:r>
              <w:rPr>
                <w:rFonts w:hint="eastAsia" w:ascii="宋体" w:hAnsi="宋体" w:eastAsia="宋体" w:cs="宋体"/>
                <w:color w:val="auto"/>
                <w:szCs w:val="21"/>
              </w:rPr>
              <w:t>承接过</w:t>
            </w:r>
            <w:r>
              <w:rPr>
                <w:rFonts w:hint="eastAsia" w:ascii="宋体" w:hAnsi="宋体" w:cs="宋体"/>
                <w:color w:val="auto"/>
                <w:szCs w:val="21"/>
                <w:lang w:val="en-US" w:eastAsia="zh-CN"/>
              </w:rPr>
              <w:t>类似</w:t>
            </w:r>
            <w:r>
              <w:rPr>
                <w:rFonts w:hint="eastAsia" w:ascii="宋体" w:hAnsi="宋体" w:eastAsia="宋体" w:cs="宋体"/>
                <w:color w:val="auto"/>
                <w:szCs w:val="21"/>
              </w:rPr>
              <w:t>社会风险评估项目，每个项目得</w:t>
            </w:r>
            <w:r>
              <w:rPr>
                <w:rFonts w:hint="eastAsia" w:ascii="宋体" w:hAnsi="宋体" w:cs="宋体"/>
                <w:color w:val="auto"/>
                <w:szCs w:val="21"/>
                <w:lang w:val="en-US" w:eastAsia="zh-CN"/>
              </w:rPr>
              <w:t>2</w:t>
            </w:r>
            <w:r>
              <w:rPr>
                <w:rFonts w:hint="eastAsia" w:ascii="宋体" w:hAnsi="宋体" w:eastAsia="宋体" w:cs="宋体"/>
                <w:color w:val="auto"/>
                <w:szCs w:val="21"/>
              </w:rPr>
              <w:t xml:space="preserve">分，最多得 </w:t>
            </w:r>
            <w:r>
              <w:rPr>
                <w:rFonts w:hint="eastAsia" w:ascii="宋体" w:hAnsi="宋体" w:cs="宋体"/>
                <w:color w:val="auto"/>
                <w:szCs w:val="21"/>
                <w:lang w:val="en-US" w:eastAsia="zh-CN"/>
              </w:rPr>
              <w:t>10</w:t>
            </w:r>
            <w:r>
              <w:rPr>
                <w:rFonts w:hint="eastAsia" w:ascii="宋体" w:hAnsi="宋体" w:eastAsia="宋体" w:cs="宋体"/>
                <w:color w:val="auto"/>
                <w:szCs w:val="21"/>
              </w:rPr>
              <w:t>分。注：同一业绩不重复计分，提供合同扫描件，并加盖供应商公章，否则不计分。</w:t>
            </w:r>
          </w:p>
        </w:tc>
      </w:tr>
      <w:tr w14:paraId="4F2E4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5" w:type="dxa"/>
            <w:noWrap w:val="0"/>
            <w:vAlign w:val="center"/>
          </w:tcPr>
          <w:p w14:paraId="1539D948">
            <w:pPr>
              <w:spacing w:line="400" w:lineRule="exact"/>
              <w:jc w:val="center"/>
              <w:rPr>
                <w:rFonts w:hint="eastAsia" w:ascii="宋体" w:hAnsi="宋体" w:cs="宋体"/>
                <w:bCs/>
                <w:color w:val="auto"/>
                <w:szCs w:val="21"/>
              </w:rPr>
            </w:pPr>
          </w:p>
        </w:tc>
        <w:tc>
          <w:tcPr>
            <w:tcW w:w="948" w:type="dxa"/>
            <w:vMerge w:val="continue"/>
            <w:noWrap w:val="0"/>
            <w:vAlign w:val="center"/>
          </w:tcPr>
          <w:p w14:paraId="52ECCA6C">
            <w:pPr>
              <w:spacing w:line="400" w:lineRule="exact"/>
              <w:jc w:val="center"/>
              <w:rPr>
                <w:rFonts w:hint="eastAsia" w:ascii="宋体" w:hAnsi="宋体" w:cs="宋体"/>
                <w:bCs/>
                <w:color w:val="auto"/>
                <w:szCs w:val="21"/>
              </w:rPr>
            </w:pPr>
          </w:p>
        </w:tc>
        <w:tc>
          <w:tcPr>
            <w:tcW w:w="995" w:type="dxa"/>
            <w:shd w:val="clear" w:color="auto" w:fill="auto"/>
            <w:noWrap w:val="0"/>
            <w:vAlign w:val="center"/>
          </w:tcPr>
          <w:p w14:paraId="4AB6BBB3">
            <w:pPr>
              <w:snapToGrid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服务能力</w:t>
            </w:r>
          </w:p>
        </w:tc>
        <w:tc>
          <w:tcPr>
            <w:tcW w:w="810" w:type="dxa"/>
            <w:shd w:val="clear" w:color="auto" w:fill="auto"/>
            <w:noWrap w:val="0"/>
            <w:vAlign w:val="center"/>
          </w:tcPr>
          <w:p w14:paraId="0E59F3A3">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10</w:t>
            </w:r>
            <w:r>
              <w:rPr>
                <w:rFonts w:hint="eastAsia" w:ascii="宋体" w:hAnsi="宋体" w:eastAsia="宋体" w:cs="宋体"/>
                <w:color w:val="auto"/>
                <w:szCs w:val="21"/>
              </w:rPr>
              <w:t>分</w:t>
            </w:r>
          </w:p>
        </w:tc>
        <w:tc>
          <w:tcPr>
            <w:tcW w:w="5931" w:type="dxa"/>
            <w:shd w:val="clear" w:color="auto" w:fill="auto"/>
            <w:noWrap w:val="0"/>
            <w:vAlign w:val="top"/>
          </w:tcPr>
          <w:p w14:paraId="3253E29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投标</w:t>
            </w:r>
            <w:r>
              <w:rPr>
                <w:rFonts w:hint="eastAsia" w:ascii="宋体" w:hAnsi="宋体" w:cs="宋体"/>
                <w:color w:val="auto"/>
                <w:szCs w:val="21"/>
                <w:lang w:val="en-US" w:eastAsia="zh-CN"/>
              </w:rPr>
              <w:t>人</w:t>
            </w:r>
            <w:r>
              <w:rPr>
                <w:rFonts w:hint="eastAsia" w:ascii="宋体" w:hAnsi="宋体" w:eastAsia="宋体" w:cs="宋体"/>
                <w:color w:val="auto"/>
                <w:szCs w:val="21"/>
              </w:rPr>
              <w:t>具备省级及以上相关部门颁发的社会稳定风险评估机构备案资质，得</w:t>
            </w:r>
            <w:r>
              <w:rPr>
                <w:rFonts w:hint="eastAsia" w:ascii="宋体" w:hAnsi="宋体" w:cs="宋体"/>
                <w:color w:val="auto"/>
                <w:szCs w:val="21"/>
                <w:lang w:val="en-US" w:eastAsia="zh-CN"/>
              </w:rPr>
              <w:t>10</w:t>
            </w:r>
            <w:r>
              <w:rPr>
                <w:rFonts w:hint="eastAsia" w:ascii="宋体" w:hAnsi="宋体" w:eastAsia="宋体" w:cs="宋体"/>
                <w:color w:val="auto"/>
                <w:szCs w:val="21"/>
              </w:rPr>
              <w:t xml:space="preserve">分；具备市级备案资质，得 </w:t>
            </w:r>
            <w:r>
              <w:rPr>
                <w:rFonts w:hint="eastAsia" w:ascii="宋体" w:hAnsi="宋体" w:cs="宋体"/>
                <w:color w:val="auto"/>
                <w:szCs w:val="21"/>
                <w:lang w:val="en-US" w:eastAsia="zh-CN"/>
              </w:rPr>
              <w:t>5</w:t>
            </w:r>
            <w:r>
              <w:rPr>
                <w:rFonts w:hint="eastAsia" w:ascii="宋体" w:hAnsi="宋体" w:eastAsia="宋体" w:cs="宋体"/>
                <w:color w:val="auto"/>
                <w:szCs w:val="21"/>
              </w:rPr>
              <w:t>分；无备案资质不得分。（需提供备案证明文件，未提供不得分）</w:t>
            </w:r>
          </w:p>
        </w:tc>
      </w:tr>
      <w:tr w14:paraId="5521B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73" w:type="dxa"/>
            <w:gridSpan w:val="2"/>
            <w:noWrap w:val="0"/>
            <w:vAlign w:val="center"/>
          </w:tcPr>
          <w:p w14:paraId="7B37862C">
            <w:pPr>
              <w:spacing w:line="400" w:lineRule="exact"/>
              <w:ind w:left="624" w:hanging="623" w:hangingChars="297"/>
              <w:jc w:val="center"/>
              <w:rPr>
                <w:rFonts w:hint="eastAsia" w:ascii="宋体" w:hAnsi="宋体" w:cs="宋体"/>
                <w:bCs/>
                <w:szCs w:val="21"/>
              </w:rPr>
            </w:pPr>
            <w:r>
              <w:rPr>
                <w:rFonts w:hint="eastAsia" w:ascii="宋体" w:hAnsi="宋体" w:cs="宋体"/>
                <w:bCs/>
                <w:szCs w:val="21"/>
              </w:rPr>
              <w:t>合计</w:t>
            </w:r>
          </w:p>
        </w:tc>
        <w:tc>
          <w:tcPr>
            <w:tcW w:w="995" w:type="dxa"/>
            <w:noWrap w:val="0"/>
            <w:vAlign w:val="center"/>
          </w:tcPr>
          <w:p w14:paraId="63148371">
            <w:pPr>
              <w:spacing w:line="400" w:lineRule="exact"/>
              <w:ind w:left="624" w:hanging="623" w:hangingChars="297"/>
              <w:jc w:val="center"/>
              <w:rPr>
                <w:rFonts w:hint="eastAsia" w:ascii="宋体" w:hAnsi="宋体" w:cs="宋体"/>
                <w:bCs/>
                <w:szCs w:val="21"/>
              </w:rPr>
            </w:pPr>
          </w:p>
        </w:tc>
        <w:tc>
          <w:tcPr>
            <w:tcW w:w="810" w:type="dxa"/>
            <w:noWrap w:val="0"/>
            <w:vAlign w:val="center"/>
          </w:tcPr>
          <w:p w14:paraId="02AA1EB2">
            <w:pPr>
              <w:spacing w:line="400" w:lineRule="exact"/>
              <w:ind w:left="624" w:hanging="623" w:hangingChars="297"/>
              <w:rPr>
                <w:rFonts w:hint="eastAsia" w:ascii="宋体" w:hAnsi="宋体" w:cs="宋体"/>
                <w:bCs/>
                <w:szCs w:val="21"/>
              </w:rPr>
            </w:pPr>
            <w:r>
              <w:rPr>
                <w:rFonts w:hint="eastAsia" w:ascii="宋体" w:hAnsi="宋体" w:cs="宋体"/>
                <w:bCs/>
                <w:szCs w:val="21"/>
              </w:rPr>
              <w:t>100</w:t>
            </w:r>
          </w:p>
        </w:tc>
        <w:tc>
          <w:tcPr>
            <w:tcW w:w="5931" w:type="dxa"/>
            <w:noWrap w:val="0"/>
            <w:vAlign w:val="center"/>
          </w:tcPr>
          <w:p w14:paraId="5BD0ADF4">
            <w:pPr>
              <w:spacing w:line="400" w:lineRule="exact"/>
              <w:rPr>
                <w:rFonts w:hint="eastAsia" w:ascii="宋体" w:hAnsi="宋体" w:cs="宋体"/>
                <w:bCs/>
                <w:szCs w:val="21"/>
              </w:rPr>
            </w:pPr>
          </w:p>
        </w:tc>
      </w:tr>
    </w:tbl>
    <w:p w14:paraId="57D4BB1F">
      <w:pPr>
        <w:spacing w:before="156" w:beforeLines="50" w:line="360" w:lineRule="auto"/>
        <w:ind w:firstLine="480" w:firstLineChars="200"/>
        <w:rPr>
          <w:rFonts w:ascii="宋体" w:hAnsi="宋体" w:cs="宋体"/>
          <w:sz w:val="24"/>
        </w:rPr>
      </w:pPr>
      <w:r>
        <w:rPr>
          <w:rFonts w:hint="eastAsia" w:ascii="宋体" w:hAnsi="宋体" w:cs="宋体"/>
          <w:sz w:val="24"/>
        </w:rPr>
        <w:t>2、有下述情况之一的，评标委员会应当认定其为不合格投标人：</w:t>
      </w:r>
    </w:p>
    <w:p w14:paraId="6A55A351">
      <w:pPr>
        <w:spacing w:line="360" w:lineRule="auto"/>
        <w:ind w:firstLine="480" w:firstLineChars="200"/>
        <w:rPr>
          <w:rFonts w:ascii="宋体" w:hAnsi="宋体" w:cs="宋体"/>
          <w:sz w:val="24"/>
        </w:rPr>
      </w:pPr>
      <w:r>
        <w:rPr>
          <w:rFonts w:hint="eastAsia" w:ascii="宋体" w:hAnsi="宋体" w:cs="宋体"/>
          <w:sz w:val="24"/>
        </w:rPr>
        <w:t>（1）比选投标文件未按招标文件规定要求加盖投标人公章的，或无企业法定代表人或法定代表人授权的代理人签字、盖章的；</w:t>
      </w:r>
    </w:p>
    <w:p w14:paraId="2D0C6DF1">
      <w:pPr>
        <w:spacing w:line="360" w:lineRule="auto"/>
        <w:ind w:firstLine="480" w:firstLineChars="200"/>
        <w:rPr>
          <w:rFonts w:ascii="宋体" w:hAnsi="宋体" w:cs="宋体"/>
          <w:sz w:val="24"/>
        </w:rPr>
      </w:pPr>
      <w:r>
        <w:rPr>
          <w:rFonts w:hint="eastAsia" w:ascii="宋体" w:hAnsi="宋体" w:cs="宋体"/>
          <w:sz w:val="24"/>
        </w:rPr>
        <w:t>（2）授权委托书无投标人公章的，无企业法定代表人或法定代表人授权的代理人签字、盖章的，或授权时间无效的；</w:t>
      </w:r>
    </w:p>
    <w:p w14:paraId="277E6B51">
      <w:pPr>
        <w:spacing w:line="360" w:lineRule="auto"/>
        <w:ind w:firstLine="480" w:firstLineChars="200"/>
        <w:rPr>
          <w:rFonts w:ascii="宋体" w:hAnsi="宋体" w:cs="宋体"/>
          <w:sz w:val="24"/>
        </w:rPr>
      </w:pPr>
      <w:r>
        <w:rPr>
          <w:rFonts w:hint="eastAsia" w:ascii="宋体" w:hAnsi="宋体" w:cs="宋体"/>
          <w:sz w:val="24"/>
        </w:rPr>
        <w:t xml:space="preserve">（3）不具备招标文件中规定资格要求的； </w:t>
      </w:r>
    </w:p>
    <w:p w14:paraId="03DFBEA0">
      <w:pPr>
        <w:spacing w:line="360" w:lineRule="auto"/>
        <w:ind w:firstLine="480" w:firstLineChars="200"/>
        <w:rPr>
          <w:rFonts w:ascii="宋体" w:hAnsi="宋体" w:cs="宋体"/>
          <w:sz w:val="24"/>
        </w:rPr>
      </w:pPr>
      <w:r>
        <w:rPr>
          <w:rFonts w:hint="eastAsia" w:ascii="宋体" w:hAnsi="宋体" w:cs="宋体"/>
          <w:sz w:val="24"/>
        </w:rPr>
        <w:t>（4）投标人递交两份或多份内容不同的投标文件的；</w:t>
      </w:r>
    </w:p>
    <w:p w14:paraId="70C76F73">
      <w:pPr>
        <w:spacing w:line="360" w:lineRule="auto"/>
        <w:ind w:firstLine="480" w:firstLineChars="200"/>
        <w:rPr>
          <w:rFonts w:ascii="宋体" w:hAnsi="宋体" w:cs="宋体"/>
          <w:sz w:val="24"/>
        </w:rPr>
      </w:pPr>
      <w:r>
        <w:rPr>
          <w:rFonts w:hint="eastAsia" w:ascii="宋体" w:hAnsi="宋体" w:cs="宋体"/>
          <w:sz w:val="24"/>
        </w:rPr>
        <w:t>（5）以行贿手段谋取中标或者不如实提供有关情况、文件、证明等资料及以其他弄虚作假方式投标的；</w:t>
      </w:r>
    </w:p>
    <w:p w14:paraId="3F65D142">
      <w:pPr>
        <w:spacing w:line="360" w:lineRule="auto"/>
        <w:ind w:firstLine="480" w:firstLineChars="200"/>
        <w:rPr>
          <w:rFonts w:ascii="宋体" w:hAnsi="宋体" w:cs="宋体"/>
          <w:sz w:val="24"/>
        </w:rPr>
      </w:pPr>
      <w:r>
        <w:rPr>
          <w:rFonts w:hint="eastAsia" w:ascii="宋体" w:hAnsi="宋体" w:cs="宋体"/>
          <w:sz w:val="24"/>
        </w:rPr>
        <w:t>（6）其它不符合法律法规和招标文件相关形式规定的；</w:t>
      </w:r>
    </w:p>
    <w:p w14:paraId="5AF5CE14">
      <w:pPr>
        <w:spacing w:line="360" w:lineRule="auto"/>
        <w:ind w:firstLine="480" w:firstLineChars="200"/>
        <w:rPr>
          <w:rFonts w:ascii="宋体" w:hAnsi="宋体" w:cs="宋体"/>
          <w:sz w:val="24"/>
        </w:rPr>
      </w:pPr>
      <w:r>
        <w:rPr>
          <w:rFonts w:hint="eastAsia" w:ascii="宋体" w:hAnsi="宋体" w:cs="宋体"/>
          <w:sz w:val="24"/>
        </w:rPr>
        <w:t>3、评标委员会应当就投标文件中存在不明确或细微偏差的内容，要求投标人予以澄清、说明或者补正。澄清、说明或者补正应在评标结束前以书面方式提交，并不得超出投标文件范围或者改变投标文件的实质性内容，澄清、说明或者补正的书面材料应当由投标人的法定代表人或其授权的委托代理人签字或盖章。评标委员会不得接受投标人主动提出的澄清、说明或补正。</w:t>
      </w:r>
    </w:p>
    <w:p w14:paraId="11446E89">
      <w:pPr>
        <w:spacing w:line="360" w:lineRule="auto"/>
        <w:ind w:firstLine="480" w:firstLineChars="200"/>
        <w:rPr>
          <w:rFonts w:ascii="宋体" w:hAnsi="宋体" w:cs="宋体"/>
          <w:sz w:val="24"/>
        </w:rPr>
      </w:pPr>
      <w:r>
        <w:rPr>
          <w:rFonts w:hint="eastAsia" w:ascii="宋体" w:hAnsi="宋体" w:cs="宋体"/>
          <w:sz w:val="24"/>
        </w:rPr>
        <w:t>4、经评标委员会评审，所有投标文件均被否决的，招标人应当依法重新招标。</w:t>
      </w:r>
    </w:p>
    <w:p w14:paraId="622FA924">
      <w:pPr>
        <w:spacing w:line="360" w:lineRule="auto"/>
        <w:ind w:firstLine="482" w:firstLineChars="200"/>
      </w:pPr>
      <w:r>
        <w:rPr>
          <w:rFonts w:hint="eastAsia" w:ascii="宋体" w:hAnsi="宋体" w:cs="宋体"/>
          <w:b/>
          <w:bCs/>
          <w:sz w:val="24"/>
        </w:rPr>
        <w:t>本评标办法仅适用于本项目。</w:t>
      </w:r>
    </w:p>
    <w:p w14:paraId="5504532E"/>
    <w:p w14:paraId="5D3EBA9F"/>
    <w:sectPr>
      <w:headerReference r:id="rId3" w:type="default"/>
      <w:pgSz w:w="11906" w:h="16838"/>
      <w:pgMar w:top="1440" w:right="1134"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6B73B">
    <w:pPr>
      <w:pStyle w:val="12"/>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7D05D"/>
    <w:multiLevelType w:val="singleLevel"/>
    <w:tmpl w:val="C497D05D"/>
    <w:lvl w:ilvl="0" w:tentative="0">
      <w:start w:val="1"/>
      <w:numFmt w:val="chineseCounting"/>
      <w:suff w:val="nothing"/>
      <w:lvlText w:val="（%1）"/>
      <w:lvlJc w:val="left"/>
      <w:rPr>
        <w:rFonts w:hint="eastAsia"/>
      </w:rPr>
    </w:lvl>
  </w:abstractNum>
  <w:abstractNum w:abstractNumId="1">
    <w:nsid w:val="552CB251"/>
    <w:multiLevelType w:val="singleLevel"/>
    <w:tmpl w:val="552CB251"/>
    <w:lvl w:ilvl="0" w:tentative="0">
      <w:start w:val="7"/>
      <w:numFmt w:val="chineseCounting"/>
      <w:suff w:val="nothing"/>
      <w:lvlText w:val="%1、"/>
      <w:lvlJc w:val="left"/>
      <w:rPr>
        <w:rFonts w:hint="eastAsia"/>
      </w:rPr>
    </w:lvl>
  </w:abstractNum>
  <w:abstractNum w:abstractNumId="2">
    <w:nsid w:val="786DF8C2"/>
    <w:multiLevelType w:val="singleLevel"/>
    <w:tmpl w:val="786DF8C2"/>
    <w:lvl w:ilvl="0" w:tentative="0">
      <w:start w:val="8"/>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YWU1NDI5NGUwMzE1MmRmNzE3ZmE2MGU1NjQ5NjMifQ=="/>
  </w:docVars>
  <w:rsids>
    <w:rsidRoot w:val="007C7C41"/>
    <w:rsid w:val="0002432A"/>
    <w:rsid w:val="00026832"/>
    <w:rsid w:val="00033FB9"/>
    <w:rsid w:val="0004220C"/>
    <w:rsid w:val="000B4AC9"/>
    <w:rsid w:val="000C0006"/>
    <w:rsid w:val="000C2AAD"/>
    <w:rsid w:val="000C4FCD"/>
    <w:rsid w:val="000C7B07"/>
    <w:rsid w:val="000D17C4"/>
    <w:rsid w:val="000D2C1F"/>
    <w:rsid w:val="000E208E"/>
    <w:rsid w:val="000E22D8"/>
    <w:rsid w:val="000E2FCA"/>
    <w:rsid w:val="000E3EB7"/>
    <w:rsid w:val="000E6B0E"/>
    <w:rsid w:val="000F59A8"/>
    <w:rsid w:val="00103E0F"/>
    <w:rsid w:val="001041D4"/>
    <w:rsid w:val="001056D9"/>
    <w:rsid w:val="001111B1"/>
    <w:rsid w:val="001112DE"/>
    <w:rsid w:val="00113DE3"/>
    <w:rsid w:val="001229C1"/>
    <w:rsid w:val="001378A6"/>
    <w:rsid w:val="001407DC"/>
    <w:rsid w:val="00147AE1"/>
    <w:rsid w:val="001508AD"/>
    <w:rsid w:val="00176BAF"/>
    <w:rsid w:val="001819C1"/>
    <w:rsid w:val="00185494"/>
    <w:rsid w:val="0019333A"/>
    <w:rsid w:val="00193DEB"/>
    <w:rsid w:val="001B2139"/>
    <w:rsid w:val="001C3297"/>
    <w:rsid w:val="001D36D3"/>
    <w:rsid w:val="001F5991"/>
    <w:rsid w:val="001F7DBC"/>
    <w:rsid w:val="00202942"/>
    <w:rsid w:val="002053A9"/>
    <w:rsid w:val="00206640"/>
    <w:rsid w:val="00215E79"/>
    <w:rsid w:val="00220D7A"/>
    <w:rsid w:val="00226141"/>
    <w:rsid w:val="0023261F"/>
    <w:rsid w:val="00265E3A"/>
    <w:rsid w:val="00266420"/>
    <w:rsid w:val="002802E5"/>
    <w:rsid w:val="00282FA9"/>
    <w:rsid w:val="002837F0"/>
    <w:rsid w:val="00285835"/>
    <w:rsid w:val="00291B18"/>
    <w:rsid w:val="002A4AE2"/>
    <w:rsid w:val="002B187F"/>
    <w:rsid w:val="002B2B07"/>
    <w:rsid w:val="002C024E"/>
    <w:rsid w:val="002C2671"/>
    <w:rsid w:val="002E247B"/>
    <w:rsid w:val="002F6DB9"/>
    <w:rsid w:val="00311AEF"/>
    <w:rsid w:val="0033452A"/>
    <w:rsid w:val="003409D6"/>
    <w:rsid w:val="00342556"/>
    <w:rsid w:val="00350BE7"/>
    <w:rsid w:val="00354EDA"/>
    <w:rsid w:val="003552E1"/>
    <w:rsid w:val="00361DF5"/>
    <w:rsid w:val="00376BAC"/>
    <w:rsid w:val="003839A4"/>
    <w:rsid w:val="00384497"/>
    <w:rsid w:val="003961FC"/>
    <w:rsid w:val="003978F7"/>
    <w:rsid w:val="003B018F"/>
    <w:rsid w:val="003C2587"/>
    <w:rsid w:val="003E08E9"/>
    <w:rsid w:val="00404AB4"/>
    <w:rsid w:val="004070A8"/>
    <w:rsid w:val="00414168"/>
    <w:rsid w:val="004225D5"/>
    <w:rsid w:val="004244CC"/>
    <w:rsid w:val="00434A15"/>
    <w:rsid w:val="00444647"/>
    <w:rsid w:val="004470A7"/>
    <w:rsid w:val="004473FA"/>
    <w:rsid w:val="00460139"/>
    <w:rsid w:val="004628AB"/>
    <w:rsid w:val="00463B93"/>
    <w:rsid w:val="004719E3"/>
    <w:rsid w:val="00474429"/>
    <w:rsid w:val="004841A8"/>
    <w:rsid w:val="00494B92"/>
    <w:rsid w:val="004A0F69"/>
    <w:rsid w:val="004A2598"/>
    <w:rsid w:val="004A47B4"/>
    <w:rsid w:val="004A4A1C"/>
    <w:rsid w:val="004B69EE"/>
    <w:rsid w:val="004C683A"/>
    <w:rsid w:val="004D1E1D"/>
    <w:rsid w:val="004D35B2"/>
    <w:rsid w:val="004D683E"/>
    <w:rsid w:val="004E1784"/>
    <w:rsid w:val="004E1F26"/>
    <w:rsid w:val="004E7358"/>
    <w:rsid w:val="004F3BA6"/>
    <w:rsid w:val="00500610"/>
    <w:rsid w:val="0050263D"/>
    <w:rsid w:val="005038C5"/>
    <w:rsid w:val="005076FA"/>
    <w:rsid w:val="00507808"/>
    <w:rsid w:val="005206B0"/>
    <w:rsid w:val="00521121"/>
    <w:rsid w:val="005279A6"/>
    <w:rsid w:val="00534A9A"/>
    <w:rsid w:val="005411A6"/>
    <w:rsid w:val="005421CC"/>
    <w:rsid w:val="005425BD"/>
    <w:rsid w:val="00544DAD"/>
    <w:rsid w:val="00547CE3"/>
    <w:rsid w:val="005568FC"/>
    <w:rsid w:val="0057247C"/>
    <w:rsid w:val="00585B71"/>
    <w:rsid w:val="005A3261"/>
    <w:rsid w:val="005C2A6D"/>
    <w:rsid w:val="005E016F"/>
    <w:rsid w:val="005E12CB"/>
    <w:rsid w:val="005E5FC7"/>
    <w:rsid w:val="005F18D3"/>
    <w:rsid w:val="005F19DE"/>
    <w:rsid w:val="005F3395"/>
    <w:rsid w:val="005F6E1B"/>
    <w:rsid w:val="005F6FA4"/>
    <w:rsid w:val="006101E4"/>
    <w:rsid w:val="0061359D"/>
    <w:rsid w:val="0061607C"/>
    <w:rsid w:val="00616524"/>
    <w:rsid w:val="00630078"/>
    <w:rsid w:val="00630D30"/>
    <w:rsid w:val="00632ED3"/>
    <w:rsid w:val="00634053"/>
    <w:rsid w:val="00636D2E"/>
    <w:rsid w:val="006377EA"/>
    <w:rsid w:val="0065340C"/>
    <w:rsid w:val="00655E0C"/>
    <w:rsid w:val="0067546C"/>
    <w:rsid w:val="0068371B"/>
    <w:rsid w:val="006A056B"/>
    <w:rsid w:val="006B274D"/>
    <w:rsid w:val="006B5265"/>
    <w:rsid w:val="006C0664"/>
    <w:rsid w:val="006E407C"/>
    <w:rsid w:val="006F43C4"/>
    <w:rsid w:val="00700865"/>
    <w:rsid w:val="00706CE7"/>
    <w:rsid w:val="00711BA2"/>
    <w:rsid w:val="00712128"/>
    <w:rsid w:val="00712F84"/>
    <w:rsid w:val="007154F1"/>
    <w:rsid w:val="00722BBF"/>
    <w:rsid w:val="00731F69"/>
    <w:rsid w:val="00743CAF"/>
    <w:rsid w:val="00750DC3"/>
    <w:rsid w:val="0077399D"/>
    <w:rsid w:val="00773AC8"/>
    <w:rsid w:val="00785A55"/>
    <w:rsid w:val="007A6C65"/>
    <w:rsid w:val="007B01B3"/>
    <w:rsid w:val="007B05D1"/>
    <w:rsid w:val="007C7C41"/>
    <w:rsid w:val="007D2559"/>
    <w:rsid w:val="007D4892"/>
    <w:rsid w:val="007D6D66"/>
    <w:rsid w:val="007D6E0E"/>
    <w:rsid w:val="007E0833"/>
    <w:rsid w:val="00801062"/>
    <w:rsid w:val="0080583D"/>
    <w:rsid w:val="00810469"/>
    <w:rsid w:val="00813A79"/>
    <w:rsid w:val="00825689"/>
    <w:rsid w:val="00826C2A"/>
    <w:rsid w:val="008462E7"/>
    <w:rsid w:val="00853DB7"/>
    <w:rsid w:val="008655EF"/>
    <w:rsid w:val="00870587"/>
    <w:rsid w:val="00874BFD"/>
    <w:rsid w:val="00877D26"/>
    <w:rsid w:val="00885372"/>
    <w:rsid w:val="00885BB1"/>
    <w:rsid w:val="008A10B6"/>
    <w:rsid w:val="008A5D13"/>
    <w:rsid w:val="008B48B2"/>
    <w:rsid w:val="008E54DB"/>
    <w:rsid w:val="008E66EB"/>
    <w:rsid w:val="00903C20"/>
    <w:rsid w:val="00906CC5"/>
    <w:rsid w:val="00921051"/>
    <w:rsid w:val="00927127"/>
    <w:rsid w:val="009368D3"/>
    <w:rsid w:val="00937D1C"/>
    <w:rsid w:val="00951FAE"/>
    <w:rsid w:val="00961C65"/>
    <w:rsid w:val="00965F15"/>
    <w:rsid w:val="009754C8"/>
    <w:rsid w:val="00986D1F"/>
    <w:rsid w:val="009A1D1C"/>
    <w:rsid w:val="009B35B4"/>
    <w:rsid w:val="009B5FB6"/>
    <w:rsid w:val="009F136A"/>
    <w:rsid w:val="009F30ED"/>
    <w:rsid w:val="00A12750"/>
    <w:rsid w:val="00A16F7A"/>
    <w:rsid w:val="00A20E43"/>
    <w:rsid w:val="00A23BA5"/>
    <w:rsid w:val="00A35BB7"/>
    <w:rsid w:val="00A37FF5"/>
    <w:rsid w:val="00A42360"/>
    <w:rsid w:val="00A5392D"/>
    <w:rsid w:val="00A53A34"/>
    <w:rsid w:val="00A566D5"/>
    <w:rsid w:val="00A74CD8"/>
    <w:rsid w:val="00A77A98"/>
    <w:rsid w:val="00A81F44"/>
    <w:rsid w:val="00A91450"/>
    <w:rsid w:val="00A95092"/>
    <w:rsid w:val="00AA145B"/>
    <w:rsid w:val="00AB4256"/>
    <w:rsid w:val="00AC45ED"/>
    <w:rsid w:val="00AC51EC"/>
    <w:rsid w:val="00AD6534"/>
    <w:rsid w:val="00B0175F"/>
    <w:rsid w:val="00B22937"/>
    <w:rsid w:val="00B3412E"/>
    <w:rsid w:val="00B35BE1"/>
    <w:rsid w:val="00B37B00"/>
    <w:rsid w:val="00B52059"/>
    <w:rsid w:val="00B56A7F"/>
    <w:rsid w:val="00B60011"/>
    <w:rsid w:val="00B66748"/>
    <w:rsid w:val="00B7493C"/>
    <w:rsid w:val="00B81ED0"/>
    <w:rsid w:val="00B87532"/>
    <w:rsid w:val="00B931B4"/>
    <w:rsid w:val="00BA2B80"/>
    <w:rsid w:val="00BB0BBD"/>
    <w:rsid w:val="00BC6CD8"/>
    <w:rsid w:val="00BD0325"/>
    <w:rsid w:val="00BD487B"/>
    <w:rsid w:val="00BE0D00"/>
    <w:rsid w:val="00BE125F"/>
    <w:rsid w:val="00BF5E60"/>
    <w:rsid w:val="00C10E71"/>
    <w:rsid w:val="00C30043"/>
    <w:rsid w:val="00C56430"/>
    <w:rsid w:val="00C73F58"/>
    <w:rsid w:val="00CA2BEB"/>
    <w:rsid w:val="00CB7695"/>
    <w:rsid w:val="00CC512E"/>
    <w:rsid w:val="00CC68B0"/>
    <w:rsid w:val="00CD6C9C"/>
    <w:rsid w:val="00CF1803"/>
    <w:rsid w:val="00D069B4"/>
    <w:rsid w:val="00D159D5"/>
    <w:rsid w:val="00D1625A"/>
    <w:rsid w:val="00D379A2"/>
    <w:rsid w:val="00D42DED"/>
    <w:rsid w:val="00D70A69"/>
    <w:rsid w:val="00D75527"/>
    <w:rsid w:val="00D80103"/>
    <w:rsid w:val="00D85CA0"/>
    <w:rsid w:val="00D93253"/>
    <w:rsid w:val="00D9421F"/>
    <w:rsid w:val="00DA061F"/>
    <w:rsid w:val="00DA340E"/>
    <w:rsid w:val="00DA67B2"/>
    <w:rsid w:val="00DB2CAE"/>
    <w:rsid w:val="00DB5AB0"/>
    <w:rsid w:val="00DF2E12"/>
    <w:rsid w:val="00E17DCF"/>
    <w:rsid w:val="00E17F55"/>
    <w:rsid w:val="00E250FD"/>
    <w:rsid w:val="00E271E4"/>
    <w:rsid w:val="00E31455"/>
    <w:rsid w:val="00E51E05"/>
    <w:rsid w:val="00E538A7"/>
    <w:rsid w:val="00E53E1A"/>
    <w:rsid w:val="00E561F7"/>
    <w:rsid w:val="00E63107"/>
    <w:rsid w:val="00E72E7B"/>
    <w:rsid w:val="00E73810"/>
    <w:rsid w:val="00E8275B"/>
    <w:rsid w:val="00E92D41"/>
    <w:rsid w:val="00EA3476"/>
    <w:rsid w:val="00ED2FB9"/>
    <w:rsid w:val="00ED7572"/>
    <w:rsid w:val="00ED7CA5"/>
    <w:rsid w:val="00EE4071"/>
    <w:rsid w:val="00EF202B"/>
    <w:rsid w:val="00EF4C05"/>
    <w:rsid w:val="00F02122"/>
    <w:rsid w:val="00F10332"/>
    <w:rsid w:val="00F25A37"/>
    <w:rsid w:val="00F43369"/>
    <w:rsid w:val="00F5622E"/>
    <w:rsid w:val="00F74538"/>
    <w:rsid w:val="00F7673C"/>
    <w:rsid w:val="00F87DB3"/>
    <w:rsid w:val="00F93939"/>
    <w:rsid w:val="00FB3354"/>
    <w:rsid w:val="00FB34C2"/>
    <w:rsid w:val="00FB54AC"/>
    <w:rsid w:val="00FB6547"/>
    <w:rsid w:val="00FB69EE"/>
    <w:rsid w:val="00FB6DDB"/>
    <w:rsid w:val="00FB71AB"/>
    <w:rsid w:val="00FB7D38"/>
    <w:rsid w:val="00FC53F2"/>
    <w:rsid w:val="00FE2A63"/>
    <w:rsid w:val="00FF2603"/>
    <w:rsid w:val="024018DF"/>
    <w:rsid w:val="037E4FBC"/>
    <w:rsid w:val="04114082"/>
    <w:rsid w:val="045F6B9B"/>
    <w:rsid w:val="06C9325F"/>
    <w:rsid w:val="093926A6"/>
    <w:rsid w:val="0D3317AF"/>
    <w:rsid w:val="111451B1"/>
    <w:rsid w:val="11AA79EB"/>
    <w:rsid w:val="12476873"/>
    <w:rsid w:val="131E7D02"/>
    <w:rsid w:val="145F6D78"/>
    <w:rsid w:val="14ED3D4F"/>
    <w:rsid w:val="15746622"/>
    <w:rsid w:val="15DD1DF8"/>
    <w:rsid w:val="174D3249"/>
    <w:rsid w:val="17C0574B"/>
    <w:rsid w:val="19996254"/>
    <w:rsid w:val="19CD414F"/>
    <w:rsid w:val="1B943177"/>
    <w:rsid w:val="1BB92BDD"/>
    <w:rsid w:val="1C0E2CEB"/>
    <w:rsid w:val="1C6019B5"/>
    <w:rsid w:val="1CB15175"/>
    <w:rsid w:val="1D4871EB"/>
    <w:rsid w:val="1DED3012"/>
    <w:rsid w:val="1E6A6074"/>
    <w:rsid w:val="21482DD7"/>
    <w:rsid w:val="215D592A"/>
    <w:rsid w:val="24AC4A25"/>
    <w:rsid w:val="26A54C67"/>
    <w:rsid w:val="28881EEE"/>
    <w:rsid w:val="2A166BC1"/>
    <w:rsid w:val="2D6F69C0"/>
    <w:rsid w:val="2E37533F"/>
    <w:rsid w:val="31647D66"/>
    <w:rsid w:val="358A2DE4"/>
    <w:rsid w:val="36993C98"/>
    <w:rsid w:val="36A42976"/>
    <w:rsid w:val="371A4C8C"/>
    <w:rsid w:val="3744399B"/>
    <w:rsid w:val="38136454"/>
    <w:rsid w:val="3881462B"/>
    <w:rsid w:val="3A1F40FB"/>
    <w:rsid w:val="3B0F6ACC"/>
    <w:rsid w:val="3BEE6177"/>
    <w:rsid w:val="3D422619"/>
    <w:rsid w:val="3EEF109D"/>
    <w:rsid w:val="40E43974"/>
    <w:rsid w:val="40E616BA"/>
    <w:rsid w:val="4349552E"/>
    <w:rsid w:val="4390748B"/>
    <w:rsid w:val="45EE264F"/>
    <w:rsid w:val="46E7196E"/>
    <w:rsid w:val="476B7F52"/>
    <w:rsid w:val="47EE40E5"/>
    <w:rsid w:val="47F87C39"/>
    <w:rsid w:val="49CA0BFE"/>
    <w:rsid w:val="49FF0303"/>
    <w:rsid w:val="4A266C1E"/>
    <w:rsid w:val="4B386DCB"/>
    <w:rsid w:val="4BB30522"/>
    <w:rsid w:val="4F983697"/>
    <w:rsid w:val="4FE439C5"/>
    <w:rsid w:val="507A645F"/>
    <w:rsid w:val="50C55DBA"/>
    <w:rsid w:val="53A33245"/>
    <w:rsid w:val="53B31AE1"/>
    <w:rsid w:val="54A5147E"/>
    <w:rsid w:val="54F16ABB"/>
    <w:rsid w:val="55603AEE"/>
    <w:rsid w:val="564B20A8"/>
    <w:rsid w:val="57E207EA"/>
    <w:rsid w:val="586340B6"/>
    <w:rsid w:val="597B5CF8"/>
    <w:rsid w:val="5A914287"/>
    <w:rsid w:val="5BD637EC"/>
    <w:rsid w:val="5CE13DF9"/>
    <w:rsid w:val="5D7E5824"/>
    <w:rsid w:val="62AD0052"/>
    <w:rsid w:val="645E6340"/>
    <w:rsid w:val="65652A5B"/>
    <w:rsid w:val="665146E0"/>
    <w:rsid w:val="668849DB"/>
    <w:rsid w:val="66A61F9B"/>
    <w:rsid w:val="68320EBE"/>
    <w:rsid w:val="68840209"/>
    <w:rsid w:val="696372E0"/>
    <w:rsid w:val="6CCB679F"/>
    <w:rsid w:val="6D7825A4"/>
    <w:rsid w:val="6D8F68C7"/>
    <w:rsid w:val="7151042E"/>
    <w:rsid w:val="74033B6B"/>
    <w:rsid w:val="76A0780E"/>
    <w:rsid w:val="777D621D"/>
    <w:rsid w:val="7D415502"/>
    <w:rsid w:val="7D4F6073"/>
    <w:rsid w:val="7E9368FF"/>
    <w:rsid w:val="7EC116BC"/>
    <w:rsid w:val="7F08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jc w:val="center"/>
      <w:outlineLvl w:val="0"/>
    </w:pPr>
    <w:rPr>
      <w:szCs w:val="20"/>
    </w:rPr>
  </w:style>
  <w:style w:type="paragraph" w:styleId="3">
    <w:name w:val="heading 2"/>
    <w:basedOn w:val="1"/>
    <w:next w:val="1"/>
    <w:link w:val="86"/>
    <w:qFormat/>
    <w:uiPriority w:val="0"/>
    <w:pPr>
      <w:keepNext/>
      <w:keepLines/>
      <w:spacing w:line="360" w:lineRule="auto"/>
      <w:outlineLvl w:val="1"/>
    </w:pPr>
    <w:rPr>
      <w:rFonts w:ascii="Arial" w:hAnsi="Arial"/>
      <w:b/>
      <w:bCs/>
      <w:sz w:val="24"/>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ind w:firstLine="420" w:firstLineChars="200"/>
    </w:pPr>
    <w:rPr>
      <w:rFonts w:ascii="Calibri" w:hAnsi="Calibri"/>
      <w:sz w:val="24"/>
      <w:szCs w:val="22"/>
    </w:r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annotation text"/>
    <w:basedOn w:val="1"/>
    <w:link w:val="90"/>
    <w:semiHidden/>
    <w:unhideWhenUsed/>
    <w:qFormat/>
    <w:uiPriority w:val="0"/>
    <w:pPr>
      <w:jc w:val="left"/>
    </w:pPr>
  </w:style>
  <w:style w:type="paragraph" w:styleId="7">
    <w:name w:val="Body Text"/>
    <w:basedOn w:val="1"/>
    <w:next w:val="1"/>
    <w:link w:val="87"/>
    <w:qFormat/>
    <w:uiPriority w:val="0"/>
    <w:pPr>
      <w:spacing w:after="120"/>
    </w:pPr>
  </w:style>
  <w:style w:type="paragraph" w:styleId="8">
    <w:name w:val="Body Text Indent"/>
    <w:basedOn w:val="1"/>
    <w:next w:val="1"/>
    <w:link w:val="82"/>
    <w:autoRedefine/>
    <w:qFormat/>
    <w:uiPriority w:val="0"/>
    <w:pPr>
      <w:adjustRightInd w:val="0"/>
      <w:snapToGrid w:val="0"/>
      <w:spacing w:line="360" w:lineRule="atLeast"/>
      <w:ind w:firstLine="480"/>
    </w:pPr>
    <w:rPr>
      <w:sz w:val="24"/>
    </w:rPr>
  </w:style>
  <w:style w:type="paragraph" w:styleId="9">
    <w:name w:val="Body Text Indent 2"/>
    <w:basedOn w:val="1"/>
    <w:autoRedefine/>
    <w:qFormat/>
    <w:uiPriority w:val="99"/>
    <w:pPr>
      <w:spacing w:after="120" w:line="480" w:lineRule="auto"/>
      <w:ind w:left="420" w:leftChars="200"/>
    </w:pPr>
    <w:rPr>
      <w:kern w:val="0"/>
      <w:sz w:val="24"/>
    </w:rPr>
  </w:style>
  <w:style w:type="paragraph" w:styleId="10">
    <w:name w:val="Balloon Text"/>
    <w:basedOn w:val="1"/>
    <w:autoRedefine/>
    <w:semiHidden/>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style>
  <w:style w:type="paragraph" w:styleId="14">
    <w:name w:val="Body Text 2"/>
    <w:basedOn w:val="1"/>
    <w:link w:val="84"/>
    <w:autoRedefine/>
    <w:qFormat/>
    <w:uiPriority w:val="0"/>
    <w:pPr>
      <w:spacing w:after="120" w:line="480" w:lineRule="auto"/>
    </w:pPr>
  </w:style>
  <w:style w:type="paragraph" w:styleId="15">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16">
    <w:name w:val="annotation subject"/>
    <w:basedOn w:val="6"/>
    <w:next w:val="6"/>
    <w:link w:val="91"/>
    <w:autoRedefine/>
    <w:semiHidden/>
    <w:unhideWhenUsed/>
    <w:qFormat/>
    <w:uiPriority w:val="0"/>
    <w:rPr>
      <w:b/>
      <w:bCs/>
    </w:rPr>
  </w:style>
  <w:style w:type="paragraph" w:styleId="17">
    <w:name w:val="Body Text First Indent"/>
    <w:basedOn w:val="7"/>
    <w:next w:val="1"/>
    <w:qFormat/>
    <w:uiPriority w:val="0"/>
    <w:pPr>
      <w:tabs>
        <w:tab w:val="left" w:pos="0"/>
      </w:tabs>
      <w:ind w:firstLine="420" w:firstLineChars="100"/>
    </w:pPr>
  </w:style>
  <w:style w:type="paragraph" w:styleId="18">
    <w:name w:val="Body Text First Indent 2"/>
    <w:basedOn w:val="8"/>
    <w:next w:val="1"/>
    <w:link w:val="83"/>
    <w:autoRedefine/>
    <w:qFormat/>
    <w:uiPriority w:val="0"/>
    <w:pPr>
      <w:adjustRightInd/>
      <w:snapToGrid/>
      <w:spacing w:after="120" w:line="240" w:lineRule="auto"/>
      <w:ind w:left="420" w:leftChars="200" w:firstLine="420" w:firstLineChars="200"/>
    </w:pPr>
    <w:rPr>
      <w:sz w:val="21"/>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FollowedHyperlink"/>
    <w:unhideWhenUsed/>
    <w:qFormat/>
    <w:uiPriority w:val="99"/>
    <w:rPr>
      <w:color w:val="800080"/>
      <w:u w:val="single"/>
    </w:rPr>
  </w:style>
  <w:style w:type="character" w:styleId="24">
    <w:name w:val="Emphasis"/>
    <w:autoRedefine/>
    <w:qFormat/>
    <w:uiPriority w:val="0"/>
    <w:rPr>
      <w:color w:val="CC0000"/>
    </w:rPr>
  </w:style>
  <w:style w:type="character" w:styleId="25">
    <w:name w:val="Hyperlink"/>
    <w:autoRedefine/>
    <w:qFormat/>
    <w:uiPriority w:val="99"/>
    <w:rPr>
      <w:color w:val="990000"/>
      <w:sz w:val="18"/>
      <w:szCs w:val="18"/>
      <w:u w:val="none"/>
    </w:rPr>
  </w:style>
  <w:style w:type="character" w:styleId="26">
    <w:name w:val="annotation reference"/>
    <w:basedOn w:val="21"/>
    <w:semiHidden/>
    <w:unhideWhenUsed/>
    <w:qFormat/>
    <w:uiPriority w:val="0"/>
    <w:rPr>
      <w:sz w:val="21"/>
      <w:szCs w:val="21"/>
    </w:rPr>
  </w:style>
  <w:style w:type="character" w:customStyle="1" w:styleId="27">
    <w:name w:val="style21"/>
    <w:qFormat/>
    <w:uiPriority w:val="0"/>
    <w:rPr>
      <w:sz w:val="22"/>
      <w:szCs w:val="22"/>
    </w:rPr>
  </w:style>
  <w:style w:type="character" w:customStyle="1" w:styleId="28">
    <w:name w:val="font21"/>
    <w:autoRedefine/>
    <w:qFormat/>
    <w:uiPriority w:val="0"/>
    <w:rPr>
      <w:rFonts w:hint="eastAsia" w:ascii="宋体" w:hAnsi="宋体" w:eastAsia="宋体" w:cs="宋体"/>
      <w:color w:val="000000"/>
      <w:sz w:val="20"/>
      <w:szCs w:val="20"/>
      <w:u w:val="none"/>
    </w:rPr>
  </w:style>
  <w:style w:type="character" w:customStyle="1" w:styleId="29">
    <w:name w:val="font41"/>
    <w:qFormat/>
    <w:uiPriority w:val="0"/>
    <w:rPr>
      <w:rFonts w:ascii="微软雅黑" w:hAnsi="微软雅黑" w:eastAsia="微软雅黑" w:cs="微软雅黑"/>
      <w:b/>
      <w:color w:val="000000"/>
      <w:sz w:val="40"/>
      <w:szCs w:val="40"/>
      <w:u w:val="none"/>
    </w:rPr>
  </w:style>
  <w:style w:type="character" w:customStyle="1" w:styleId="30">
    <w:name w:val="font01"/>
    <w:autoRedefine/>
    <w:qFormat/>
    <w:uiPriority w:val="0"/>
    <w:rPr>
      <w:rFonts w:hint="eastAsia" w:ascii="宋体" w:hAnsi="宋体" w:eastAsia="宋体" w:cs="宋体"/>
      <w:color w:val="000000"/>
      <w:sz w:val="22"/>
      <w:szCs w:val="22"/>
      <w:u w:val="none"/>
    </w:rPr>
  </w:style>
  <w:style w:type="character" w:customStyle="1" w:styleId="31">
    <w:name w:val="font31"/>
    <w:autoRedefine/>
    <w:qFormat/>
    <w:uiPriority w:val="0"/>
    <w:rPr>
      <w:rFonts w:hint="eastAsia" w:ascii="微软雅黑" w:hAnsi="微软雅黑" w:eastAsia="微软雅黑" w:cs="微软雅黑"/>
      <w:color w:val="000000"/>
      <w:sz w:val="20"/>
      <w:szCs w:val="20"/>
      <w:u w:val="none"/>
    </w:rPr>
  </w:style>
  <w:style w:type="paragraph" w:customStyle="1" w:styleId="32">
    <w:name w:val="font5"/>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3">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7"/>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5">
    <w:name w:val="font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37">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color w:val="000000"/>
      <w:kern w:val="0"/>
      <w:sz w:val="24"/>
    </w:rPr>
  </w:style>
  <w:style w:type="paragraph" w:customStyle="1" w:styleId="40">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4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rPr>
  </w:style>
  <w:style w:type="paragraph" w:customStyle="1" w:styleId="44">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4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46">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7">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8">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9">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5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51">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52">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5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54">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rPr>
  </w:style>
  <w:style w:type="paragraph" w:customStyle="1" w:styleId="5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56">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3333"/>
      <w:kern w:val="0"/>
      <w:sz w:val="24"/>
    </w:rPr>
  </w:style>
  <w:style w:type="paragraph" w:customStyle="1" w:styleId="5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rPr>
  </w:style>
  <w:style w:type="paragraph" w:customStyle="1" w:styleId="58">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59">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60">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color w:val="000000"/>
      <w:kern w:val="0"/>
      <w:sz w:val="24"/>
    </w:rPr>
  </w:style>
  <w:style w:type="paragraph" w:customStyle="1" w:styleId="61">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color w:val="000000"/>
      <w:kern w:val="0"/>
      <w:sz w:val="24"/>
    </w:rPr>
  </w:style>
  <w:style w:type="paragraph" w:customStyle="1" w:styleId="62">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63">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6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65">
    <w:name w:val="xl10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66">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68">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color w:val="000000"/>
      <w:kern w:val="0"/>
      <w:sz w:val="24"/>
    </w:rPr>
  </w:style>
  <w:style w:type="paragraph" w:customStyle="1" w:styleId="69">
    <w:name w:val="xl106"/>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70">
    <w:name w:val="xl107"/>
    <w:basedOn w:val="1"/>
    <w:autoRedefine/>
    <w:qFormat/>
    <w:uiPriority w:val="0"/>
    <w:pPr>
      <w:widowControl/>
      <w:spacing w:before="100" w:beforeAutospacing="1" w:after="100" w:afterAutospacing="1"/>
      <w:jc w:val="left"/>
      <w:textAlignment w:val="bottom"/>
    </w:pPr>
    <w:rPr>
      <w:rFonts w:ascii="宋体" w:hAnsi="宋体" w:cs="宋体"/>
      <w:kern w:val="0"/>
      <w:sz w:val="22"/>
      <w:szCs w:val="22"/>
    </w:rPr>
  </w:style>
  <w:style w:type="paragraph" w:customStyle="1" w:styleId="71">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2">
    <w:name w:val="xl109"/>
    <w:basedOn w:val="1"/>
    <w:autoRedefine/>
    <w:qFormat/>
    <w:uiPriority w:val="0"/>
    <w:pPr>
      <w:widowControl/>
      <w:pBdr>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73">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74">
    <w:name w:val="xl111"/>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75">
    <w:name w:val="xl11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6">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77">
    <w:name w:val="font51"/>
    <w:basedOn w:val="21"/>
    <w:autoRedefine/>
    <w:qFormat/>
    <w:uiPriority w:val="0"/>
    <w:rPr>
      <w:rFonts w:hint="eastAsia" w:ascii="宋体" w:hAnsi="宋体" w:eastAsia="宋体" w:cs="宋体"/>
      <w:color w:val="000000"/>
      <w:sz w:val="24"/>
      <w:szCs w:val="24"/>
      <w:u w:val="none"/>
    </w:rPr>
  </w:style>
  <w:style w:type="character" w:customStyle="1" w:styleId="78">
    <w:name w:val="font81"/>
    <w:basedOn w:val="21"/>
    <w:autoRedefine/>
    <w:qFormat/>
    <w:uiPriority w:val="0"/>
    <w:rPr>
      <w:rFonts w:hint="eastAsia" w:ascii="宋体" w:hAnsi="宋体" w:eastAsia="宋体" w:cs="宋体"/>
      <w:color w:val="000000"/>
      <w:sz w:val="24"/>
      <w:szCs w:val="24"/>
      <w:u w:val="none"/>
    </w:rPr>
  </w:style>
  <w:style w:type="character" w:customStyle="1" w:styleId="79">
    <w:name w:val="font151"/>
    <w:basedOn w:val="21"/>
    <w:autoRedefine/>
    <w:qFormat/>
    <w:uiPriority w:val="0"/>
    <w:rPr>
      <w:rFonts w:hint="eastAsia" w:ascii="宋体" w:hAnsi="宋体" w:eastAsia="宋体" w:cs="宋体"/>
      <w:b/>
      <w:bCs/>
      <w:color w:val="000000"/>
      <w:sz w:val="24"/>
      <w:szCs w:val="24"/>
      <w:u w:val="none"/>
    </w:rPr>
  </w:style>
  <w:style w:type="character" w:customStyle="1" w:styleId="80">
    <w:name w:val="font161"/>
    <w:basedOn w:val="21"/>
    <w:autoRedefine/>
    <w:qFormat/>
    <w:uiPriority w:val="0"/>
    <w:rPr>
      <w:rFonts w:hint="eastAsia" w:ascii="宋体" w:hAnsi="宋体" w:eastAsia="宋体" w:cs="宋体"/>
      <w:b/>
      <w:bCs/>
      <w:color w:val="000000"/>
      <w:sz w:val="22"/>
      <w:szCs w:val="22"/>
      <w:u w:val="none"/>
    </w:rPr>
  </w:style>
  <w:style w:type="paragraph" w:styleId="81">
    <w:name w:val="List Paragraph"/>
    <w:basedOn w:val="1"/>
    <w:autoRedefine/>
    <w:unhideWhenUsed/>
    <w:qFormat/>
    <w:uiPriority w:val="99"/>
    <w:pPr>
      <w:ind w:firstLine="420" w:firstLineChars="200"/>
    </w:pPr>
  </w:style>
  <w:style w:type="character" w:customStyle="1" w:styleId="82">
    <w:name w:val="正文文本缩进 字符"/>
    <w:basedOn w:val="21"/>
    <w:link w:val="8"/>
    <w:autoRedefine/>
    <w:qFormat/>
    <w:uiPriority w:val="0"/>
    <w:rPr>
      <w:kern w:val="2"/>
      <w:sz w:val="24"/>
      <w:szCs w:val="24"/>
    </w:rPr>
  </w:style>
  <w:style w:type="character" w:customStyle="1" w:styleId="83">
    <w:name w:val="正文文本首行缩进 2 字符"/>
    <w:basedOn w:val="82"/>
    <w:link w:val="18"/>
    <w:autoRedefine/>
    <w:qFormat/>
    <w:uiPriority w:val="0"/>
    <w:rPr>
      <w:kern w:val="2"/>
      <w:sz w:val="24"/>
      <w:szCs w:val="24"/>
    </w:rPr>
  </w:style>
  <w:style w:type="character" w:customStyle="1" w:styleId="84">
    <w:name w:val="正文文本 2 字符"/>
    <w:basedOn w:val="21"/>
    <w:link w:val="14"/>
    <w:autoRedefine/>
    <w:qFormat/>
    <w:uiPriority w:val="0"/>
    <w:rPr>
      <w:kern w:val="2"/>
      <w:sz w:val="21"/>
      <w:szCs w:val="24"/>
    </w:rPr>
  </w:style>
  <w:style w:type="paragraph" w:customStyle="1" w:styleId="85">
    <w:name w:val="列表段落1"/>
    <w:basedOn w:val="1"/>
    <w:autoRedefine/>
    <w:qFormat/>
    <w:uiPriority w:val="99"/>
    <w:pPr>
      <w:widowControl/>
      <w:spacing w:before="50" w:after="50" w:line="400" w:lineRule="exact"/>
      <w:ind w:left="720"/>
      <w:contextualSpacing/>
      <w:jc w:val="left"/>
    </w:pPr>
    <w:rPr>
      <w:kern w:val="0"/>
      <w:sz w:val="24"/>
    </w:rPr>
  </w:style>
  <w:style w:type="character" w:customStyle="1" w:styleId="86">
    <w:name w:val="标题 2 字符"/>
    <w:basedOn w:val="21"/>
    <w:link w:val="3"/>
    <w:autoRedefine/>
    <w:qFormat/>
    <w:uiPriority w:val="0"/>
    <w:rPr>
      <w:rFonts w:ascii="Arial" w:hAnsi="Arial"/>
      <w:b/>
      <w:bCs/>
      <w:kern w:val="2"/>
      <w:sz w:val="24"/>
      <w:szCs w:val="32"/>
    </w:rPr>
  </w:style>
  <w:style w:type="character" w:customStyle="1" w:styleId="87">
    <w:name w:val="正文文本 字符"/>
    <w:basedOn w:val="21"/>
    <w:link w:val="7"/>
    <w:autoRedefine/>
    <w:qFormat/>
    <w:uiPriority w:val="0"/>
    <w:rPr>
      <w:kern w:val="2"/>
      <w:sz w:val="21"/>
      <w:szCs w:val="24"/>
    </w:rPr>
  </w:style>
  <w:style w:type="paragraph" w:customStyle="1" w:styleId="88">
    <w:name w:val="EndnoteText"/>
    <w:basedOn w:val="1"/>
    <w:autoRedefine/>
    <w:qFormat/>
    <w:uiPriority w:val="0"/>
  </w:style>
  <w:style w:type="paragraph" w:customStyle="1" w:styleId="89">
    <w:name w:val="[基本段落]"/>
    <w:autoRedefine/>
    <w:qFormat/>
    <w:uiPriority w:val="99"/>
    <w:pPr>
      <w:widowControl w:val="0"/>
      <w:autoSpaceDE w:val="0"/>
      <w:autoSpaceDN w:val="0"/>
      <w:adjustRightInd w:val="0"/>
      <w:spacing w:line="288" w:lineRule="auto"/>
      <w:jc w:val="both"/>
      <w:textAlignment w:val="center"/>
    </w:pPr>
    <w:rPr>
      <w:rFonts w:ascii="宋体" w:hAnsi="Calibri" w:eastAsia="宋体" w:cs="Times New Roman"/>
      <w:color w:val="000000"/>
      <w:kern w:val="2"/>
      <w:sz w:val="24"/>
      <w:lang w:val="zh-CN" w:eastAsia="zh-CN" w:bidi="ar-SA"/>
    </w:rPr>
  </w:style>
  <w:style w:type="character" w:customStyle="1" w:styleId="90">
    <w:name w:val="批注文字 字符"/>
    <w:basedOn w:val="21"/>
    <w:link w:val="6"/>
    <w:autoRedefine/>
    <w:semiHidden/>
    <w:qFormat/>
    <w:uiPriority w:val="0"/>
    <w:rPr>
      <w:kern w:val="2"/>
      <w:sz w:val="21"/>
      <w:szCs w:val="24"/>
    </w:rPr>
  </w:style>
  <w:style w:type="character" w:customStyle="1" w:styleId="91">
    <w:name w:val="批注主题 字符"/>
    <w:basedOn w:val="90"/>
    <w:link w:val="16"/>
    <w:autoRedefine/>
    <w:semiHidden/>
    <w:qFormat/>
    <w:uiPriority w:val="0"/>
    <w:rPr>
      <w:b/>
      <w:bCs/>
      <w:kern w:val="2"/>
      <w:sz w:val="21"/>
      <w:szCs w:val="24"/>
    </w:rPr>
  </w:style>
  <w:style w:type="character" w:customStyle="1" w:styleId="92">
    <w:name w:val="15"/>
    <w:autoRedefine/>
    <w:qFormat/>
    <w:uiPriority w:val="0"/>
    <w:rPr>
      <w:rFonts w:hint="default" w:ascii="Times New Roman" w:hAnsi="Times New Roman" w:cs="Times New Roman"/>
      <w:color w:val="0000FF"/>
      <w:u w:val="single"/>
    </w:rPr>
  </w:style>
  <w:style w:type="paragraph" w:customStyle="1" w:styleId="9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5C7C0-2B6D-4A4D-8B98-D5D76F8894DE}">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909</Words>
  <Characters>1047</Characters>
  <Lines>63</Lines>
  <Paragraphs>17</Paragraphs>
  <TotalTime>53</TotalTime>
  <ScaleCrop>false</ScaleCrop>
  <LinksUpToDate>false</LinksUpToDate>
  <CharactersWithSpaces>1158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2024-04-19T03:55:00Z</dcterms:created>
  <dc:creator>jwc</dc:creator>
  <cp:lastModifiedBy>wang先生</cp:lastModifiedBy>
  <cp:lastPrinted>2009-02-17T01:24:00Z</cp:lastPrinted>
  <dcterms:modified xsi:type="dcterms:W3CDTF">2025-10-23T01:19:34Z</dcterms:modified>
  <dc:title>湖南科技大学2005-2006年教材招标</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CCABE76ADFDD41CF8291DD4A0FC0C8C5_13</vt:lpwstr>
  </property>
  <property fmtid="{D5CDD505-2E9C-101B-9397-08002B2CF9AE}" pid="4" name="KSOTemplateDocerSaveRecord">
    <vt:lpwstr>eyJoZGlkIjoiM2YxZTE0ZmEyOTQwMjQzNGEwOGQyOGU4MmM4MDJlNDIiLCJ1c2VySWQiOiIyNDI3NjY5ODcifQ==</vt:lpwstr>
  </property>
</Properties>
</file>