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C1BBD8">
      <w:pPr>
        <w:pStyle w:val="4"/>
        <w:spacing w:before="0" w:after="0" w:line="600" w:lineRule="exact"/>
        <w:rPr>
          <w:rFonts w:eastAsia="方正小标宋简体"/>
          <w:b w:val="0"/>
          <w:sz w:val="36"/>
          <w:szCs w:val="36"/>
        </w:rPr>
      </w:pPr>
    </w:p>
    <w:p w14:paraId="1B503566">
      <w:pPr>
        <w:pStyle w:val="4"/>
        <w:spacing w:before="0" w:after="0" w:line="600" w:lineRule="exact"/>
        <w:jc w:val="center"/>
        <w:rPr>
          <w:rFonts w:eastAsia="方正小标宋简体"/>
          <w:b w:val="0"/>
          <w:sz w:val="36"/>
          <w:szCs w:val="36"/>
        </w:rPr>
      </w:pPr>
      <w:r>
        <w:rPr>
          <w:rFonts w:eastAsia="方正小标宋简体"/>
          <w:b w:val="0"/>
          <w:sz w:val="36"/>
          <w:szCs w:val="36"/>
        </w:rPr>
        <w:t>湖南省普通高校</w:t>
      </w:r>
      <w:r>
        <w:rPr>
          <w:rFonts w:hint="eastAsia" w:eastAsia="方正小标宋简体"/>
          <w:b w:val="0"/>
          <w:sz w:val="36"/>
          <w:szCs w:val="36"/>
        </w:rPr>
        <w:t>学生</w:t>
      </w:r>
      <w:r>
        <w:rPr>
          <w:rFonts w:eastAsia="方正小标宋简体"/>
          <w:b w:val="0"/>
          <w:sz w:val="36"/>
          <w:szCs w:val="36"/>
        </w:rPr>
        <w:t>资助政策</w:t>
      </w:r>
      <w:r>
        <w:rPr>
          <w:rFonts w:hint="eastAsia" w:eastAsia="方正小标宋简体"/>
          <w:b w:val="0"/>
          <w:sz w:val="36"/>
          <w:szCs w:val="36"/>
        </w:rPr>
        <w:t>宣传手册</w:t>
      </w:r>
    </w:p>
    <w:p w14:paraId="04163871">
      <w:pPr>
        <w:pStyle w:val="4"/>
        <w:spacing w:before="0" w:after="0" w:line="600" w:lineRule="exact"/>
        <w:jc w:val="center"/>
        <w:rPr>
          <w:rFonts w:hint="eastAsia" w:eastAsia="楷体"/>
          <w:b w:val="0"/>
          <w:sz w:val="24"/>
          <w:szCs w:val="24"/>
        </w:rPr>
      </w:pPr>
      <w:r>
        <w:rPr>
          <w:rFonts w:eastAsia="楷体"/>
          <w:b w:val="0"/>
          <w:sz w:val="24"/>
          <w:szCs w:val="24"/>
        </w:rPr>
        <w:t>（</w:t>
      </w:r>
      <w:r>
        <w:rPr>
          <w:rFonts w:eastAsia="楷体"/>
          <w:b w:val="0"/>
          <w:bCs w:val="0"/>
          <w:color w:val="000000"/>
          <w:sz w:val="24"/>
          <w:szCs w:val="24"/>
        </w:rPr>
        <w:t>本专科生</w:t>
      </w:r>
      <w:r>
        <w:rPr>
          <w:rFonts w:eastAsia="楷体"/>
          <w:b w:val="0"/>
          <w:sz w:val="24"/>
          <w:szCs w:val="24"/>
        </w:rPr>
        <w:t>）</w:t>
      </w:r>
      <w:r>
        <w:rPr>
          <w:rFonts w:hint="eastAsia" w:ascii="仿宋" w:hAnsi="仿宋" w:eastAsia="仿宋"/>
          <w:sz w:val="24"/>
          <w:szCs w:val="24"/>
        </w:rPr>
        <w:t xml:space="preserve">                                                                                                                                                                                                                                                                                                                                                        </w:t>
      </w:r>
      <w:r>
        <w:rPr>
          <w:rFonts w:hint="eastAsia" w:ascii="黑体" w:hAnsi="黑体" w:eastAsia="黑体"/>
          <w:color w:val="000000"/>
          <w:sz w:val="24"/>
          <w:szCs w:val="21"/>
        </w:rPr>
        <w:t>如果您是刚录取的大学新生，</w:t>
      </w:r>
      <w:r>
        <w:rPr>
          <w:rFonts w:hint="eastAsia" w:ascii="黑体" w:hAnsi="黑体" w:eastAsia="黑体"/>
          <w:color w:val="000000"/>
          <w:sz w:val="24"/>
          <w:szCs w:val="24"/>
        </w:rPr>
        <w:t>您在入学前可享受以下学生资助政策：</w:t>
      </w:r>
    </w:p>
    <w:p w14:paraId="637FE971">
      <w:pPr>
        <w:spacing w:after="0" w:line="540" w:lineRule="exact"/>
        <w:ind w:firstLine="482" w:firstLineChars="200"/>
        <w:rPr>
          <w:rFonts w:hint="eastAsia" w:ascii="黑体" w:hAnsi="黑体" w:eastAsia="黑体"/>
          <w:b/>
          <w:color w:val="000000"/>
          <w:sz w:val="24"/>
        </w:rPr>
      </w:pPr>
      <w:r>
        <w:rPr>
          <w:rFonts w:hint="eastAsia" w:ascii="黑体" w:hAnsi="黑体" w:eastAsia="黑体"/>
          <w:b/>
          <w:color w:val="000000"/>
          <w:sz w:val="24"/>
        </w:rPr>
        <w:t>（一）生源地信用助学贷款</w:t>
      </w:r>
    </w:p>
    <w:p w14:paraId="3D2B7C34">
      <w:pPr>
        <w:spacing w:after="0" w:line="540" w:lineRule="exact"/>
        <w:ind w:firstLine="480" w:firstLineChars="200"/>
        <w:rPr>
          <w:rFonts w:hint="eastAsia" w:ascii="仿宋_GB2312" w:hAnsi="仿宋_GB2312" w:eastAsia="仿宋_GB2312"/>
          <w:sz w:val="24"/>
        </w:rPr>
      </w:pPr>
      <w:r>
        <w:rPr>
          <w:rFonts w:hint="eastAsia" w:ascii="仿宋_GB2312" w:hAnsi="仿宋_GB2312" w:eastAsia="仿宋_GB2312"/>
          <w:sz w:val="24"/>
        </w:rPr>
        <w:t>国家助学贷款包括生源地信用助学贷款与校园地国家助学贷款，目前我省只开展生源地信用助学贷款，具体政策如下：</w:t>
      </w:r>
    </w:p>
    <w:p w14:paraId="48489CCC">
      <w:pPr>
        <w:spacing w:line="600" w:lineRule="exact"/>
        <w:ind w:firstLine="480" w:firstLineChars="200"/>
        <w:rPr>
          <w:rFonts w:hint="eastAsia" w:ascii="楷体" w:hAnsi="楷体" w:eastAsia="楷体"/>
          <w:color w:val="000000"/>
          <w:kern w:val="0"/>
          <w:sz w:val="24"/>
        </w:rPr>
      </w:pPr>
      <w:r>
        <w:rPr>
          <w:rFonts w:hint="eastAsia" w:ascii="楷体" w:hAnsi="楷体" w:eastAsia="楷体"/>
          <w:color w:val="000000"/>
          <w:kern w:val="0"/>
          <w:sz w:val="24"/>
        </w:rPr>
        <w:t>1.资助对象</w:t>
      </w:r>
    </w:p>
    <w:p w14:paraId="24B42A02">
      <w:pPr>
        <w:spacing w:after="0" w:line="540" w:lineRule="exact"/>
        <w:ind w:firstLine="480" w:firstLineChars="200"/>
        <w:rPr>
          <w:rFonts w:hint="eastAsia" w:ascii="仿宋_GB2312" w:hAnsi="仿宋_GB2312" w:eastAsia="仿宋_GB2312"/>
          <w:sz w:val="24"/>
        </w:rPr>
      </w:pPr>
      <w:r>
        <w:rPr>
          <w:rFonts w:hint="eastAsia" w:ascii="仿宋_GB2312" w:hAnsi="仿宋_GB2312" w:eastAsia="仿宋_GB2312"/>
          <w:sz w:val="24"/>
        </w:rPr>
        <w:t>被全日制普通高校正式录取的湖南省户籍家庭经济困难新生和在读学生。</w:t>
      </w:r>
    </w:p>
    <w:p w14:paraId="1E7676D5">
      <w:pPr>
        <w:spacing w:line="600" w:lineRule="exact"/>
        <w:ind w:firstLine="480" w:firstLineChars="200"/>
        <w:rPr>
          <w:rFonts w:hint="eastAsia" w:ascii="楷体" w:hAnsi="楷体" w:eastAsia="楷体"/>
          <w:color w:val="000000"/>
          <w:kern w:val="0"/>
          <w:sz w:val="24"/>
        </w:rPr>
      </w:pPr>
      <w:r>
        <w:rPr>
          <w:rFonts w:hint="eastAsia" w:ascii="楷体" w:hAnsi="楷体" w:eastAsia="楷体"/>
          <w:color w:val="000000"/>
          <w:kern w:val="0"/>
          <w:sz w:val="24"/>
        </w:rPr>
        <w:t>2.办理程序</w:t>
      </w:r>
    </w:p>
    <w:p w14:paraId="31DB90FC">
      <w:pPr>
        <w:spacing w:line="600" w:lineRule="exact"/>
        <w:ind w:firstLine="480" w:firstLineChars="200"/>
        <w:rPr>
          <w:rFonts w:ascii="仿宋_GB2312" w:hAnsi="仿宋_GB2312" w:eastAsia="仿宋_GB2312"/>
          <w:color w:val="000000"/>
          <w:kern w:val="2"/>
          <w:sz w:val="24"/>
          <w:szCs w:val="24"/>
        </w:rPr>
      </w:pPr>
      <w:r>
        <w:rPr>
          <w:rFonts w:hint="eastAsia" w:ascii="仿宋_GB2312" w:hAnsi="仿宋_GB2312" w:eastAsia="仿宋_GB2312"/>
          <w:color w:val="000000"/>
          <w:sz w:val="24"/>
        </w:rPr>
        <w:t>生源地信用助学贷款按年度申请、审批和发放，学生到</w:t>
      </w:r>
      <w:r>
        <w:rPr>
          <w:rFonts w:ascii="仿宋_GB2312" w:hAnsi="仿宋_GB2312" w:eastAsia="仿宋_GB2312"/>
          <w:color w:val="000000"/>
          <w:kern w:val="2"/>
          <w:sz w:val="24"/>
          <w:szCs w:val="24"/>
        </w:rPr>
        <w:t>户籍所在地学生资助管理中心申请办理。首先，登录学生在线系统（</w:t>
      </w:r>
      <w:r>
        <w:fldChar w:fldCharType="begin"/>
      </w:r>
      <w:r>
        <w:instrText xml:space="preserve"> HYPERLINK "https://sls.cdb.com.cn" </w:instrText>
      </w:r>
      <w:r>
        <w:fldChar w:fldCharType="separate"/>
      </w:r>
      <w:r>
        <w:rPr>
          <w:rFonts w:ascii="仿宋_GB2312" w:hAnsi="仿宋_GB2312" w:eastAsia="仿宋_GB2312"/>
          <w:color w:val="000000"/>
          <w:kern w:val="2"/>
          <w:sz w:val="24"/>
          <w:szCs w:val="24"/>
        </w:rPr>
        <w:t>https://sls.cdb.com.cn</w:t>
      </w:r>
      <w:r>
        <w:rPr>
          <w:rFonts w:ascii="仿宋_GB2312" w:hAnsi="仿宋_GB2312" w:eastAsia="仿宋_GB2312"/>
          <w:color w:val="000000"/>
          <w:kern w:val="2"/>
          <w:sz w:val="24"/>
          <w:szCs w:val="24"/>
        </w:rPr>
        <w:fldChar w:fldCharType="end"/>
      </w:r>
      <w:r>
        <w:rPr>
          <w:rFonts w:ascii="仿宋_GB2312" w:hAnsi="仿宋_GB2312" w:eastAsia="仿宋_GB2312"/>
          <w:color w:val="000000"/>
          <w:kern w:val="2"/>
          <w:sz w:val="24"/>
          <w:szCs w:val="24"/>
        </w:rPr>
        <w:t>）,完成注册并填写个人及共同借款人基本信息, 提交贷款申请，打印《申请表》并签字。然后，上传申贷材料。系统提示通过预申请的学生，打印《申请表》并签字后，按系统提示上传申贷材料。未进行预申请，但确因家庭经济困难需要申办贷款的学生，可按照实际情况填写《家庭经济困难学生认定表》,作为家庭经济困难认定依据申办贷款。县级学生资助管理中心负责对学生提交的申请进行资格初审，国家开发银行湖南省分行负责最终审批并发放贷款。</w:t>
      </w:r>
    </w:p>
    <w:p w14:paraId="5B6FCB06">
      <w:pPr>
        <w:spacing w:after="0" w:line="540" w:lineRule="exact"/>
        <w:ind w:firstLine="482" w:firstLineChars="200"/>
        <w:rPr>
          <w:rFonts w:hint="eastAsia" w:ascii="黑体" w:hAnsi="黑体" w:eastAsia="黑体"/>
          <w:b/>
          <w:color w:val="000000"/>
          <w:sz w:val="24"/>
        </w:rPr>
      </w:pPr>
      <w:r>
        <w:rPr>
          <w:rFonts w:hint="eastAsia" w:ascii="黑体" w:hAnsi="黑体" w:eastAsia="黑体"/>
          <w:b/>
          <w:color w:val="000000"/>
          <w:sz w:val="24"/>
          <w:szCs w:val="21"/>
        </w:rPr>
        <w:t>如果您是刚录取的大学新生，您在入学报到时还</w:t>
      </w:r>
      <w:r>
        <w:rPr>
          <w:rFonts w:hint="eastAsia" w:ascii="黑体" w:hAnsi="黑体" w:eastAsia="黑体"/>
          <w:b/>
          <w:color w:val="000000"/>
          <w:sz w:val="24"/>
        </w:rPr>
        <w:t>可享受以下学生资助政策：</w:t>
      </w:r>
    </w:p>
    <w:p w14:paraId="6ACC9F03">
      <w:pPr>
        <w:spacing w:after="0" w:line="540" w:lineRule="exact"/>
        <w:ind w:firstLine="482" w:firstLineChars="200"/>
        <w:rPr>
          <w:rFonts w:hint="eastAsia" w:ascii="黑体" w:hAnsi="黑体" w:eastAsia="黑体"/>
          <w:b/>
          <w:color w:val="000000"/>
          <w:sz w:val="24"/>
        </w:rPr>
      </w:pPr>
      <w:r>
        <w:rPr>
          <w:rFonts w:hint="eastAsia" w:ascii="黑体" w:hAnsi="黑体" w:eastAsia="黑体"/>
          <w:b/>
          <w:color w:val="000000"/>
          <w:sz w:val="24"/>
        </w:rPr>
        <w:t>绿色通道</w:t>
      </w:r>
    </w:p>
    <w:p w14:paraId="46FD1D44">
      <w:pPr>
        <w:spacing w:after="0" w:line="540" w:lineRule="exact"/>
        <w:ind w:firstLine="480" w:firstLineChars="200"/>
        <w:rPr>
          <w:rFonts w:hint="eastAsia" w:ascii="仿宋_GB2312" w:hAnsi="仿宋_GB2312" w:eastAsia="仿宋_GB2312"/>
          <w:sz w:val="24"/>
        </w:rPr>
      </w:pPr>
      <w:r>
        <w:rPr>
          <w:rFonts w:hint="eastAsia" w:ascii="仿宋_GB2312" w:hAnsi="仿宋_GB2312" w:eastAsia="仿宋_GB2312"/>
          <w:sz w:val="24"/>
        </w:rPr>
        <w:t>家庭经济特别困难的新生如暂时筹集不齐学费和住宿费，可在开学报到时，通过高校开设的“绿色通道”先办理入学手续。入学后，高校资助部门根据学生具体情况开展家庭经济困难学生认定，采取不同措施给予资助。</w:t>
      </w:r>
    </w:p>
    <w:p w14:paraId="7758982F">
      <w:pPr>
        <w:spacing w:after="0" w:line="540" w:lineRule="exact"/>
        <w:ind w:firstLine="480" w:firstLineChars="200"/>
        <w:rPr>
          <w:rFonts w:hint="eastAsia" w:ascii="仿宋_GB2312" w:hAnsi="仿宋_GB2312" w:eastAsia="仿宋_GB2312"/>
          <w:color w:val="000000" w:themeColor="text1"/>
          <w:sz w:val="24"/>
          <w14:textFill>
            <w14:solidFill>
              <w14:schemeClr w14:val="tx1"/>
            </w14:solidFill>
          </w14:textFill>
        </w:rPr>
      </w:pPr>
      <w:r>
        <w:rPr>
          <w:rFonts w:hint="eastAsia" w:ascii="仿宋_GB2312" w:hAnsi="仿宋_GB2312" w:eastAsia="仿宋_GB2312"/>
          <w:sz w:val="24"/>
        </w:rPr>
        <w:t>温馨提示：已经办理了生源地信用助学贷款的学生直接通过“绿色通道”入</w:t>
      </w:r>
      <w:r>
        <w:rPr>
          <w:rFonts w:hint="eastAsia" w:ascii="仿宋_GB2312" w:hAnsi="仿宋_GB2312" w:eastAsia="仿宋_GB2312"/>
          <w:color w:val="000000" w:themeColor="text1"/>
          <w:sz w:val="24"/>
          <w14:textFill>
            <w14:solidFill>
              <w14:schemeClr w14:val="tx1"/>
            </w14:solidFill>
          </w14:textFill>
        </w:rPr>
        <w:t>学，不要再向学校缴纳助学贷款部分的学费</w:t>
      </w:r>
      <w:r>
        <w:rPr>
          <w:rFonts w:hint="default" w:ascii="仿宋_GB2312" w:hAnsi="仿宋_GB2312" w:eastAsia="仿宋_GB2312"/>
          <w:color w:val="000000" w:themeColor="text1"/>
          <w:sz w:val="24"/>
          <w:lang w:val="en-US"/>
          <w14:textFill>
            <w14:solidFill>
              <w14:schemeClr w14:val="tx1"/>
            </w14:solidFill>
          </w14:textFill>
        </w:rPr>
        <w:t>等费用</w:t>
      </w:r>
      <w:r>
        <w:rPr>
          <w:rFonts w:hint="eastAsia" w:ascii="仿宋_GB2312" w:hAnsi="仿宋_GB2312" w:eastAsia="仿宋_GB2312"/>
          <w:color w:val="000000" w:themeColor="text1"/>
          <w:sz w:val="24"/>
          <w14:textFill>
            <w14:solidFill>
              <w14:schemeClr w14:val="tx1"/>
            </w14:solidFill>
          </w14:textFill>
        </w:rPr>
        <w:t>。</w:t>
      </w:r>
    </w:p>
    <w:p w14:paraId="1CD34527">
      <w:pPr>
        <w:snapToGrid w:val="0"/>
        <w:spacing w:line="600" w:lineRule="exact"/>
        <w:ind w:firstLine="482" w:firstLineChars="200"/>
        <w:rPr>
          <w:rFonts w:hint="eastAsia" w:ascii="黑体" w:hAnsi="黑体" w:eastAsia="黑体"/>
          <w:b/>
          <w:color w:val="000000" w:themeColor="text1"/>
          <w:sz w:val="24"/>
          <w14:textFill>
            <w14:solidFill>
              <w14:schemeClr w14:val="tx1"/>
            </w14:solidFill>
          </w14:textFill>
        </w:rPr>
      </w:pPr>
      <w:r>
        <w:rPr>
          <w:rFonts w:hint="eastAsia" w:ascii="黑体" w:hAnsi="黑体" w:eastAsia="黑体"/>
          <w:b/>
          <w:color w:val="000000" w:themeColor="text1"/>
          <w:sz w:val="24"/>
          <w:szCs w:val="21"/>
          <w14:textFill>
            <w14:solidFill>
              <w14:schemeClr w14:val="tx1"/>
            </w14:solidFill>
          </w14:textFill>
        </w:rPr>
        <w:t>如果您是在校在读大学生，您在入学后可享受以下</w:t>
      </w:r>
      <w:r>
        <w:rPr>
          <w:rFonts w:hint="eastAsia" w:ascii="黑体" w:hAnsi="黑体" w:eastAsia="黑体"/>
          <w:b/>
          <w:color w:val="000000" w:themeColor="text1"/>
          <w:sz w:val="24"/>
          <w14:textFill>
            <w14:solidFill>
              <w14:schemeClr w14:val="tx1"/>
            </w14:solidFill>
          </w14:textFill>
        </w:rPr>
        <w:t>学生资助政策：</w:t>
      </w:r>
    </w:p>
    <w:p w14:paraId="7010A93B">
      <w:pPr>
        <w:spacing w:after="0" w:line="540" w:lineRule="exact"/>
        <w:ind w:firstLine="482" w:firstLineChars="200"/>
        <w:rPr>
          <w:rFonts w:hint="eastAsia" w:ascii="黑体" w:hAnsi="黑体" w:eastAsia="黑体"/>
          <w:b/>
          <w:color w:val="000000" w:themeColor="text1"/>
          <w:sz w:val="24"/>
          <w14:textFill>
            <w14:solidFill>
              <w14:schemeClr w14:val="tx1"/>
            </w14:solidFill>
          </w14:textFill>
        </w:rPr>
      </w:pPr>
      <w:r>
        <w:rPr>
          <w:rFonts w:hint="eastAsia" w:ascii="黑体" w:hAnsi="黑体" w:eastAsia="黑体"/>
          <w:b/>
          <w:color w:val="000000" w:themeColor="text1"/>
          <w:sz w:val="24"/>
          <w14:textFill>
            <w14:solidFill>
              <w14:schemeClr w14:val="tx1"/>
            </w14:solidFill>
          </w14:textFill>
        </w:rPr>
        <w:t>（一）国家奖学金</w:t>
      </w:r>
    </w:p>
    <w:p w14:paraId="4A3921E3">
      <w:pPr>
        <w:spacing w:after="0" w:line="540" w:lineRule="exact"/>
        <w:ind w:firstLine="480" w:firstLineChars="200"/>
        <w:rPr>
          <w:rFonts w:hint="eastAsia" w:ascii="仿宋_GB2312" w:hAnsi="仿宋_GB2312" w:eastAsia="仿宋_GB2312"/>
          <w:color w:val="000000" w:themeColor="text1"/>
          <w:sz w:val="24"/>
          <w14:textFill>
            <w14:solidFill>
              <w14:schemeClr w14:val="tx1"/>
            </w14:solidFill>
          </w14:textFill>
        </w:rPr>
      </w:pPr>
      <w:r>
        <w:rPr>
          <w:rFonts w:hint="eastAsia" w:ascii="仿宋_GB2312" w:hAnsi="仿宋_GB2312" w:eastAsia="仿宋_GB2312"/>
          <w:color w:val="000000" w:themeColor="text1"/>
          <w:sz w:val="24"/>
          <w14:textFill>
            <w14:solidFill>
              <w14:schemeClr w14:val="tx1"/>
            </w14:solidFill>
          </w14:textFill>
        </w:rPr>
        <w:t>奖励纳入全国招生计划的特别优秀的全日制二年级以上（含二年级）本专科（含高职、第二学士学位）在校生，全国每年奖励</w:t>
      </w:r>
      <w:r>
        <w:rPr>
          <w:rFonts w:hint="eastAsia" w:ascii="仿宋_GB2312" w:hAnsi="仿宋_GB2312" w:eastAsia="仿宋_GB2312"/>
          <w:color w:val="000000" w:themeColor="text1"/>
          <w:sz w:val="24"/>
          <w:lang w:val="en-US" w:eastAsia="zh-CN"/>
          <w14:textFill>
            <w14:solidFill>
              <w14:schemeClr w14:val="tx1"/>
            </w14:solidFill>
          </w14:textFill>
        </w:rPr>
        <w:t>12</w:t>
      </w:r>
      <w:r>
        <w:rPr>
          <w:rFonts w:hint="eastAsia" w:ascii="仿宋_GB2312" w:hAnsi="仿宋_GB2312" w:eastAsia="仿宋_GB2312"/>
          <w:color w:val="000000" w:themeColor="text1"/>
          <w:sz w:val="24"/>
          <w14:textFill>
            <w14:solidFill>
              <w14:schemeClr w14:val="tx1"/>
            </w14:solidFill>
          </w14:textFill>
        </w:rPr>
        <w:t>万名，每生每年</w:t>
      </w:r>
      <w:r>
        <w:rPr>
          <w:rFonts w:hint="eastAsia" w:ascii="仿宋_GB2312" w:hAnsi="仿宋_GB2312" w:eastAsia="仿宋_GB2312"/>
          <w:color w:val="000000" w:themeColor="text1"/>
          <w:sz w:val="24"/>
          <w:lang w:val="en-US" w:eastAsia="zh-CN"/>
          <w14:textFill>
            <w14:solidFill>
              <w14:schemeClr w14:val="tx1"/>
            </w14:solidFill>
          </w14:textFill>
        </w:rPr>
        <w:t>10000</w:t>
      </w:r>
      <w:r>
        <w:rPr>
          <w:rFonts w:hint="eastAsia" w:ascii="仿宋_GB2312" w:hAnsi="仿宋_GB2312" w:eastAsia="仿宋_GB2312"/>
          <w:color w:val="000000" w:themeColor="text1"/>
          <w:sz w:val="24"/>
          <w14:textFill>
            <w14:solidFill>
              <w14:schemeClr w14:val="tx1"/>
            </w14:solidFill>
          </w14:textFill>
        </w:rPr>
        <w:t>元，颁发国家统一印制的荣誉证书。</w:t>
      </w:r>
    </w:p>
    <w:p w14:paraId="0CD5D936">
      <w:pPr>
        <w:spacing w:after="0" w:line="540" w:lineRule="exact"/>
        <w:ind w:firstLine="480" w:firstLineChars="200"/>
        <w:rPr>
          <w:rFonts w:hint="eastAsia" w:ascii="仿宋_GB2312" w:hAnsi="仿宋_GB2312" w:eastAsia="仿宋_GB2312"/>
          <w:color w:val="000000" w:themeColor="text1"/>
          <w:sz w:val="24"/>
          <w14:textFill>
            <w14:solidFill>
              <w14:schemeClr w14:val="tx1"/>
            </w14:solidFill>
          </w14:textFill>
        </w:rPr>
      </w:pPr>
      <w:r>
        <w:rPr>
          <w:rFonts w:hint="eastAsia" w:ascii="仿宋_GB2312" w:hAnsi="仿宋_GB2312" w:eastAsia="仿宋_GB2312"/>
          <w:color w:val="000000" w:themeColor="text1"/>
          <w:sz w:val="24"/>
          <w14:textFill>
            <w14:solidFill>
              <w14:schemeClr w14:val="tx1"/>
            </w14:solidFill>
          </w14:textFill>
        </w:rPr>
        <w:t>温馨提示：刚入学的新生不可以申请哦！</w:t>
      </w:r>
    </w:p>
    <w:p w14:paraId="02FA94A2">
      <w:pPr>
        <w:spacing w:after="0" w:line="540" w:lineRule="exact"/>
        <w:ind w:firstLine="482" w:firstLineChars="200"/>
        <w:rPr>
          <w:rFonts w:hint="eastAsia" w:ascii="黑体" w:hAnsi="黑体" w:eastAsia="黑体"/>
          <w:b/>
          <w:color w:val="000000" w:themeColor="text1"/>
          <w:sz w:val="24"/>
          <w14:textFill>
            <w14:solidFill>
              <w14:schemeClr w14:val="tx1"/>
            </w14:solidFill>
          </w14:textFill>
        </w:rPr>
      </w:pPr>
      <w:r>
        <w:rPr>
          <w:rFonts w:hint="eastAsia" w:ascii="黑体" w:hAnsi="黑体" w:eastAsia="黑体"/>
          <w:b/>
          <w:color w:val="000000" w:themeColor="text1"/>
          <w:sz w:val="24"/>
          <w14:textFill>
            <w14:solidFill>
              <w14:schemeClr w14:val="tx1"/>
            </w14:solidFill>
          </w14:textFill>
        </w:rPr>
        <w:t>（二）国家励志奖学金</w:t>
      </w:r>
    </w:p>
    <w:p w14:paraId="6224BE2D">
      <w:pPr>
        <w:spacing w:after="0" w:line="540" w:lineRule="exact"/>
        <w:ind w:firstLine="480" w:firstLineChars="200"/>
        <w:rPr>
          <w:rFonts w:hint="eastAsia" w:ascii="仿宋_GB2312" w:hAnsi="仿宋_GB2312" w:eastAsia="仿宋_GB2312"/>
          <w:color w:val="000000" w:themeColor="text1"/>
          <w:sz w:val="24"/>
          <w14:textFill>
            <w14:solidFill>
              <w14:schemeClr w14:val="tx1"/>
            </w14:solidFill>
          </w14:textFill>
        </w:rPr>
      </w:pPr>
      <w:r>
        <w:rPr>
          <w:rFonts w:hint="eastAsia" w:ascii="仿宋_GB2312" w:hAnsi="仿宋_GB2312" w:eastAsia="仿宋_GB2312"/>
          <w:color w:val="000000" w:themeColor="text1"/>
          <w:sz w:val="24"/>
          <w14:textFill>
            <w14:solidFill>
              <w14:schemeClr w14:val="tx1"/>
            </w14:solidFill>
          </w14:textFill>
        </w:rPr>
        <w:t>奖励纳入全国招生计划的品学兼优的家庭经济困难全日制二年级以上（含二年级）本专科（含高职、第二学士学位）在校生，每生每年</w:t>
      </w:r>
      <w:r>
        <w:rPr>
          <w:rFonts w:hint="eastAsia" w:ascii="仿宋_GB2312" w:hAnsi="仿宋_GB2312" w:eastAsia="仿宋_GB2312"/>
          <w:color w:val="000000" w:themeColor="text1"/>
          <w:sz w:val="24"/>
          <w:lang w:val="en-US" w:eastAsia="zh-CN"/>
          <w14:textFill>
            <w14:solidFill>
              <w14:schemeClr w14:val="tx1"/>
            </w14:solidFill>
          </w14:textFill>
        </w:rPr>
        <w:t>6</w:t>
      </w:r>
      <w:r>
        <w:rPr>
          <w:rFonts w:ascii="仿宋_GB2312" w:hAnsi="仿宋_GB2312" w:eastAsia="仿宋_GB2312"/>
          <w:color w:val="000000" w:themeColor="text1"/>
          <w:sz w:val="24"/>
          <w14:textFill>
            <w14:solidFill>
              <w14:schemeClr w14:val="tx1"/>
            </w14:solidFill>
          </w14:textFill>
        </w:rPr>
        <w:t>000</w:t>
      </w:r>
      <w:r>
        <w:rPr>
          <w:rFonts w:hint="eastAsia" w:ascii="仿宋_GB2312" w:hAnsi="仿宋_GB2312" w:eastAsia="仿宋_GB2312"/>
          <w:color w:val="000000" w:themeColor="text1"/>
          <w:sz w:val="24"/>
          <w14:textFill>
            <w14:solidFill>
              <w14:schemeClr w14:val="tx1"/>
            </w14:solidFill>
          </w14:textFill>
        </w:rPr>
        <w:t>元。</w:t>
      </w:r>
    </w:p>
    <w:p w14:paraId="36A0AE73">
      <w:pPr>
        <w:spacing w:after="0" w:line="540" w:lineRule="exact"/>
        <w:ind w:firstLine="480" w:firstLineChars="200"/>
        <w:rPr>
          <w:rFonts w:hint="eastAsia" w:ascii="仿宋_GB2312" w:hAnsi="仿宋_GB2312" w:eastAsia="仿宋_GB2312"/>
          <w:color w:val="000000" w:themeColor="text1"/>
          <w:sz w:val="24"/>
          <w14:textFill>
            <w14:solidFill>
              <w14:schemeClr w14:val="tx1"/>
            </w14:solidFill>
          </w14:textFill>
        </w:rPr>
      </w:pPr>
      <w:r>
        <w:rPr>
          <w:rFonts w:hint="eastAsia" w:ascii="仿宋_GB2312" w:hAnsi="仿宋_GB2312" w:eastAsia="仿宋_GB2312"/>
          <w:color w:val="000000" w:themeColor="text1"/>
          <w:sz w:val="24"/>
          <w14:textFill>
            <w14:solidFill>
              <w14:schemeClr w14:val="tx1"/>
            </w14:solidFill>
          </w14:textFill>
        </w:rPr>
        <w:t>温馨提示：刚入学的新生不可以申请哦！</w:t>
      </w:r>
    </w:p>
    <w:p w14:paraId="4D51440C">
      <w:pPr>
        <w:spacing w:after="0" w:line="540" w:lineRule="exact"/>
        <w:ind w:firstLine="482" w:firstLineChars="200"/>
        <w:rPr>
          <w:rFonts w:hint="eastAsia" w:ascii="黑体" w:hAnsi="黑体" w:eastAsia="黑体"/>
          <w:b/>
          <w:color w:val="000000" w:themeColor="text1"/>
          <w:sz w:val="24"/>
          <w14:textFill>
            <w14:solidFill>
              <w14:schemeClr w14:val="tx1"/>
            </w14:solidFill>
          </w14:textFill>
        </w:rPr>
      </w:pPr>
      <w:r>
        <w:rPr>
          <w:rFonts w:hint="eastAsia" w:ascii="黑体" w:hAnsi="黑体" w:eastAsia="黑体"/>
          <w:b/>
          <w:color w:val="000000" w:themeColor="text1"/>
          <w:sz w:val="24"/>
          <w14:textFill>
            <w14:solidFill>
              <w14:schemeClr w14:val="tx1"/>
            </w14:solidFill>
          </w14:textFill>
        </w:rPr>
        <w:t>（三）国家助学金</w:t>
      </w:r>
    </w:p>
    <w:p w14:paraId="41AC6B22">
      <w:pPr>
        <w:spacing w:after="0" w:line="540" w:lineRule="exact"/>
        <w:ind w:firstLine="480" w:firstLineChars="200"/>
        <w:rPr>
          <w:rFonts w:hint="default" w:ascii="仿宋_GB2312" w:hAnsi="仿宋_GB2312" w:eastAsia="仿宋_GB2312"/>
          <w:color w:val="000000" w:themeColor="text1"/>
          <w:sz w:val="24"/>
          <w:lang w:val="en-US" w:eastAsia="zh-CN"/>
          <w14:textFill>
            <w14:solidFill>
              <w14:schemeClr w14:val="tx1"/>
            </w14:solidFill>
          </w14:textFill>
        </w:rPr>
      </w:pPr>
      <w:r>
        <w:rPr>
          <w:rFonts w:hint="eastAsia" w:ascii="仿宋_GB2312" w:hAnsi="仿宋_GB2312" w:eastAsia="仿宋_GB2312"/>
          <w:color w:val="000000" w:themeColor="text1"/>
          <w:sz w:val="24"/>
          <w14:textFill>
            <w14:solidFill>
              <w14:schemeClr w14:val="tx1"/>
            </w14:solidFill>
          </w14:textFill>
        </w:rPr>
        <w:t>资助纳入全国招生计划内的家庭经济困难全日制本专科在校生（含预科、高职、第二学士学位学生，不含退役士兵学生），平均资助标准为每生每年</w:t>
      </w:r>
      <w:r>
        <w:rPr>
          <w:rFonts w:ascii="仿宋_GB2312" w:hAnsi="仿宋_GB2312" w:eastAsia="仿宋_GB2312"/>
          <w:color w:val="000000" w:themeColor="text1"/>
          <w:sz w:val="24"/>
          <w14:textFill>
            <w14:solidFill>
              <w14:schemeClr w14:val="tx1"/>
            </w14:solidFill>
          </w14:textFill>
        </w:rPr>
        <w:t>3</w:t>
      </w:r>
      <w:r>
        <w:rPr>
          <w:rFonts w:hint="eastAsia" w:ascii="仿宋_GB2312" w:hAnsi="仿宋_GB2312" w:eastAsia="仿宋_GB2312"/>
          <w:color w:val="000000" w:themeColor="text1"/>
          <w:sz w:val="24"/>
          <w:lang w:val="en-US" w:eastAsia="zh-CN"/>
          <w14:textFill>
            <w14:solidFill>
              <w14:schemeClr w14:val="tx1"/>
            </w14:solidFill>
          </w14:textFill>
        </w:rPr>
        <w:t>7</w:t>
      </w:r>
      <w:r>
        <w:rPr>
          <w:rFonts w:ascii="仿宋_GB2312" w:hAnsi="仿宋_GB2312" w:eastAsia="仿宋_GB2312"/>
          <w:color w:val="000000" w:themeColor="text1"/>
          <w:sz w:val="24"/>
          <w14:textFill>
            <w14:solidFill>
              <w14:schemeClr w14:val="tx1"/>
            </w14:solidFill>
          </w14:textFill>
        </w:rPr>
        <w:t>00</w:t>
      </w:r>
      <w:r>
        <w:rPr>
          <w:rFonts w:hint="eastAsia" w:ascii="仿宋_GB2312" w:hAnsi="仿宋_GB2312" w:eastAsia="仿宋_GB2312"/>
          <w:color w:val="000000" w:themeColor="text1"/>
          <w:sz w:val="24"/>
          <w14:textFill>
            <w14:solidFill>
              <w14:schemeClr w14:val="tx1"/>
            </w14:solidFill>
          </w14:textFill>
        </w:rPr>
        <w:t>元，</w:t>
      </w:r>
      <w:r>
        <w:rPr>
          <w:rFonts w:hint="eastAsia" w:ascii="仿宋_GB2312" w:hAnsi="仿宋_GB2312" w:eastAsia="仿宋_GB2312"/>
          <w:color w:val="000000" w:themeColor="text1"/>
          <w:sz w:val="24"/>
          <w:lang w:val="en-US" w:eastAsia="zh-CN"/>
          <w14:textFill>
            <w14:solidFill>
              <w14:schemeClr w14:val="tx1"/>
            </w14:solidFill>
          </w14:textFill>
        </w:rPr>
        <w:t>我省各档具体资助标准为：一档4800元/人/年、二档3700元/人/年、三档2600元/人/年。全日制在校退役士兵学生全部享受本专科国家助学金，资助标准为每生每年3700元。</w:t>
      </w:r>
    </w:p>
    <w:p w14:paraId="0E96CAFA">
      <w:pPr>
        <w:spacing w:after="0" w:line="540" w:lineRule="exact"/>
        <w:ind w:firstLine="482" w:firstLineChars="200"/>
        <w:rPr>
          <w:rFonts w:hint="eastAsia" w:ascii="黑体" w:hAnsi="黑体" w:eastAsia="黑体"/>
          <w:b/>
          <w:color w:val="000000" w:themeColor="text1"/>
          <w:sz w:val="24"/>
          <w14:textFill>
            <w14:solidFill>
              <w14:schemeClr w14:val="tx1"/>
            </w14:solidFill>
          </w14:textFill>
        </w:rPr>
      </w:pPr>
      <w:r>
        <w:rPr>
          <w:rFonts w:hint="eastAsia" w:ascii="黑体" w:hAnsi="黑体" w:eastAsia="黑体"/>
          <w:b/>
          <w:color w:val="000000" w:themeColor="text1"/>
          <w:sz w:val="24"/>
          <w14:textFill>
            <w14:solidFill>
              <w14:schemeClr w14:val="tx1"/>
            </w14:solidFill>
          </w14:textFill>
        </w:rPr>
        <w:t>（四）勤工助学</w:t>
      </w:r>
    </w:p>
    <w:p w14:paraId="49F58135">
      <w:pPr>
        <w:spacing w:after="0" w:line="540" w:lineRule="exact"/>
        <w:ind w:firstLine="480" w:firstLineChars="200"/>
        <w:rPr>
          <w:rFonts w:hint="eastAsia" w:ascii="仿宋_GB2312" w:hAnsi="仿宋_GB2312" w:eastAsia="仿宋_GB2312"/>
          <w:color w:val="000000" w:themeColor="text1"/>
          <w:sz w:val="24"/>
          <w14:textFill>
            <w14:solidFill>
              <w14:schemeClr w14:val="tx1"/>
            </w14:solidFill>
          </w14:textFill>
        </w:rPr>
      </w:pPr>
      <w:r>
        <w:rPr>
          <w:rFonts w:hint="eastAsia" w:ascii="仿宋_GB2312" w:hAnsi="仿宋_GB2312" w:eastAsia="仿宋_GB2312"/>
          <w:color w:val="000000" w:themeColor="text1"/>
          <w:sz w:val="24"/>
          <w14:textFill>
            <w14:solidFill>
              <w14:schemeClr w14:val="tx1"/>
            </w14:solidFill>
          </w14:textFill>
        </w:rPr>
        <w:t>高校学生在学有余力的前提下，可以利用课余时间参加高校组织的勤工助学活动，通过劳动取得合法报酬，改善学习和生活条件。</w:t>
      </w:r>
    </w:p>
    <w:p w14:paraId="6A6AA46B">
      <w:pPr>
        <w:spacing w:after="0" w:line="540" w:lineRule="exact"/>
        <w:ind w:firstLine="482" w:firstLineChars="200"/>
        <w:rPr>
          <w:rFonts w:hint="eastAsia" w:ascii="黑体" w:hAnsi="黑体" w:eastAsia="黑体"/>
          <w:b/>
          <w:color w:val="000000" w:themeColor="text1"/>
          <w:sz w:val="24"/>
          <w14:textFill>
            <w14:solidFill>
              <w14:schemeClr w14:val="tx1"/>
            </w14:solidFill>
          </w14:textFill>
        </w:rPr>
      </w:pPr>
      <w:r>
        <w:rPr>
          <w:rFonts w:hint="eastAsia" w:ascii="黑体" w:hAnsi="黑体" w:eastAsia="黑体"/>
          <w:b/>
          <w:color w:val="000000" w:themeColor="text1"/>
          <w:sz w:val="24"/>
          <w14:textFill>
            <w14:solidFill>
              <w14:schemeClr w14:val="tx1"/>
            </w14:solidFill>
          </w14:textFill>
        </w:rPr>
        <w:t xml:space="preserve">（五）校内资助 </w:t>
      </w:r>
    </w:p>
    <w:p w14:paraId="183298BB">
      <w:pPr>
        <w:spacing w:after="0" w:line="540" w:lineRule="exact"/>
        <w:ind w:firstLine="480" w:firstLineChars="200"/>
        <w:rPr>
          <w:rFonts w:hint="eastAsia" w:ascii="仿宋_GB2312" w:hAnsi="仿宋_GB2312" w:eastAsia="仿宋_GB2312"/>
          <w:color w:val="000000" w:themeColor="text1"/>
          <w:sz w:val="24"/>
          <w14:textFill>
            <w14:solidFill>
              <w14:schemeClr w14:val="tx1"/>
            </w14:solidFill>
          </w14:textFill>
        </w:rPr>
      </w:pPr>
      <w:r>
        <w:rPr>
          <w:rFonts w:hint="eastAsia" w:ascii="仿宋_GB2312" w:hAnsi="仿宋_GB2312" w:eastAsia="仿宋_GB2312"/>
          <w:color w:val="000000" w:themeColor="text1"/>
          <w:sz w:val="24"/>
          <w14:textFill>
            <w14:solidFill>
              <w14:schemeClr w14:val="tx1"/>
            </w14:solidFill>
          </w14:textFill>
        </w:rPr>
        <w:t>各普通高校利用事业收入提取资金以及社会捐助资金，设立校内奖学金、助学金、困难补助、学费减免等资助项目，实施校内资助。具体内容可向就读学校咨询。</w:t>
      </w:r>
    </w:p>
    <w:p w14:paraId="6819FB13">
      <w:pPr>
        <w:spacing w:after="0" w:line="540" w:lineRule="exact"/>
        <w:ind w:firstLine="482" w:firstLineChars="200"/>
        <w:rPr>
          <w:rFonts w:hint="eastAsia" w:ascii="黑体" w:hAnsi="黑体" w:eastAsia="黑体"/>
          <w:b/>
          <w:color w:val="000000" w:themeColor="text1"/>
          <w:sz w:val="24"/>
          <w14:textFill>
            <w14:solidFill>
              <w14:schemeClr w14:val="tx1"/>
            </w14:solidFill>
          </w14:textFill>
        </w:rPr>
      </w:pPr>
      <w:r>
        <w:rPr>
          <w:rFonts w:hint="eastAsia" w:ascii="黑体" w:hAnsi="黑体" w:eastAsia="黑体"/>
          <w:b/>
          <w:color w:val="000000" w:themeColor="text1"/>
          <w:sz w:val="24"/>
          <w:szCs w:val="21"/>
          <w14:textFill>
            <w14:solidFill>
              <w14:schemeClr w14:val="tx1"/>
            </w14:solidFill>
          </w14:textFill>
        </w:rPr>
        <w:t>如果您是应征入伍服兵役高校学生，您可以享受</w:t>
      </w:r>
      <w:r>
        <w:rPr>
          <w:rFonts w:hint="eastAsia" w:ascii="黑体" w:hAnsi="黑体" w:eastAsia="黑体"/>
          <w:b/>
          <w:color w:val="000000" w:themeColor="text1"/>
          <w:sz w:val="24"/>
          <w14:textFill>
            <w14:solidFill>
              <w14:schemeClr w14:val="tx1"/>
            </w14:solidFill>
          </w14:textFill>
        </w:rPr>
        <w:t>服兵役高等学校学生国家教育资助</w:t>
      </w:r>
      <w:r>
        <w:rPr>
          <w:rFonts w:hint="eastAsia" w:ascii="黑体" w:hAnsi="黑体" w:eastAsia="黑体"/>
          <w:b/>
          <w:color w:val="000000" w:themeColor="text1"/>
          <w:sz w:val="24"/>
          <w:szCs w:val="21"/>
          <w14:textFill>
            <w14:solidFill>
              <w14:schemeClr w14:val="tx1"/>
            </w14:solidFill>
          </w14:textFill>
        </w:rPr>
        <w:t>政策</w:t>
      </w:r>
    </w:p>
    <w:p w14:paraId="47C1EA22">
      <w:pPr>
        <w:spacing w:after="0" w:line="540" w:lineRule="exact"/>
        <w:ind w:firstLine="480" w:firstLineChars="200"/>
        <w:rPr>
          <w:rFonts w:hint="eastAsia" w:ascii="仿宋_GB2312" w:hAnsi="仿宋_GB2312" w:eastAsia="仿宋_GB2312"/>
          <w:color w:val="000000" w:themeColor="text1"/>
          <w:sz w:val="24"/>
          <w14:textFill>
            <w14:solidFill>
              <w14:schemeClr w14:val="tx1"/>
            </w14:solidFill>
          </w14:textFill>
        </w:rPr>
      </w:pPr>
      <w:r>
        <w:rPr>
          <w:rFonts w:hint="eastAsia" w:ascii="仿宋_GB2312" w:hAnsi="仿宋_GB2312" w:eastAsia="仿宋_GB2312"/>
          <w:color w:val="000000" w:themeColor="text1"/>
          <w:sz w:val="24"/>
          <w:szCs w:val="21"/>
          <w14:textFill>
            <w14:solidFill>
              <w14:schemeClr w14:val="tx1"/>
            </w14:solidFill>
          </w14:textFill>
        </w:rPr>
        <w:t>国家</w:t>
      </w:r>
      <w:r>
        <w:rPr>
          <w:rFonts w:hint="eastAsia" w:ascii="仿宋_GB2312" w:hAnsi="仿宋_GB2312" w:eastAsia="仿宋_GB2312"/>
          <w:color w:val="000000" w:themeColor="text1"/>
          <w:sz w:val="24"/>
          <w14:textFill>
            <w14:solidFill>
              <w14:schemeClr w14:val="tx1"/>
            </w14:solidFill>
          </w14:textFill>
        </w:rPr>
        <w:t>对应征入伍服义务兵役、招收为军士、退役后复学或入学的高等学校学生实行学费补偿、国家助学贷款代偿、学费减免。学费补偿或国家助学贷款代偿金额，按学生实际缴纳的学费或</w:t>
      </w:r>
      <w:bookmarkStart w:id="0" w:name="_GoBack"/>
      <w:bookmarkEnd w:id="0"/>
      <w:r>
        <w:rPr>
          <w:rFonts w:hint="eastAsia" w:ascii="仿宋_GB2312" w:hAnsi="仿宋_GB2312" w:eastAsia="仿宋_GB2312"/>
          <w:color w:val="000000" w:themeColor="text1"/>
          <w:sz w:val="24"/>
          <w14:textFill>
            <w14:solidFill>
              <w14:schemeClr w14:val="tx1"/>
            </w14:solidFill>
          </w14:textFill>
        </w:rPr>
        <w:t>用于学费的国家助学贷款（包括本金及其全部偿还之前产生的利息）两者金额较高者执行；复学或新生入学后学费减免金额，按高等学校实际收取学费金额执行。学费补偿、国家助学贷款代偿以及学费减免的标准，本专科生每生每年最高不超过</w:t>
      </w:r>
      <w:r>
        <w:rPr>
          <w:rFonts w:hint="eastAsia" w:ascii="仿宋_GB2312" w:hAnsi="仿宋_GB2312" w:eastAsia="仿宋_GB2312"/>
          <w:color w:val="000000" w:themeColor="text1"/>
          <w:sz w:val="24"/>
          <w:lang w:val="en-US" w:eastAsia="zh-CN"/>
          <w14:textFill>
            <w14:solidFill>
              <w14:schemeClr w14:val="tx1"/>
            </w14:solidFill>
          </w14:textFill>
        </w:rPr>
        <w:t>20000</w:t>
      </w:r>
      <w:r>
        <w:rPr>
          <w:rFonts w:hint="eastAsia" w:ascii="仿宋_GB2312" w:hAnsi="仿宋_GB2312" w:eastAsia="仿宋_GB2312"/>
          <w:color w:val="000000" w:themeColor="text1"/>
          <w:sz w:val="24"/>
          <w14:textFill>
            <w14:solidFill>
              <w14:schemeClr w14:val="tx1"/>
            </w14:solidFill>
          </w14:textFill>
        </w:rPr>
        <w:t>元，超出标准部分不予补偿、代偿或减免。</w:t>
      </w:r>
    </w:p>
    <w:p w14:paraId="275F79C9">
      <w:pPr>
        <w:spacing w:after="0" w:line="600" w:lineRule="exact"/>
        <w:rPr>
          <w:rFonts w:hint="eastAsia" w:ascii="仿宋_GB2312" w:hAnsi="仿宋_GB2312" w:eastAsia="仿宋_GB2312"/>
          <w:color w:val="000000" w:themeColor="text1"/>
          <w:sz w:val="32"/>
          <w:szCs w:val="32"/>
          <w14:textFill>
            <w14:solidFill>
              <w14:schemeClr w14:val="tx1"/>
            </w14:solidFill>
          </w14:textFill>
        </w:rPr>
      </w:pPr>
    </w:p>
    <w:p w14:paraId="1AD15D99">
      <w:pPr>
        <w:spacing w:after="0" w:line="600" w:lineRule="exact"/>
        <w:rPr>
          <w:rFonts w:hint="eastAsia" w:ascii="仿宋_GB2312" w:hAnsi="仿宋_GB2312" w:eastAsia="仿宋_GB2312"/>
          <w:color w:val="000000" w:themeColor="text1"/>
          <w:sz w:val="32"/>
          <w:szCs w:val="32"/>
          <w14:textFill>
            <w14:solidFill>
              <w14:schemeClr w14:val="tx1"/>
            </w14:solidFill>
          </w14:textFill>
        </w:rPr>
      </w:pPr>
    </w:p>
    <w:sectPr>
      <w:headerReference r:id="rId5" w:type="default"/>
      <w:footerReference r:id="rId6" w:type="default"/>
      <w:footerReference r:id="rId7" w:type="even"/>
      <w:pgSz w:w="11906" w:h="16838"/>
      <w:pgMar w:top="1440" w:right="1588" w:bottom="1440" w:left="1797" w:header="851" w:footer="1559"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EC854">
    <w:pPr>
      <w:pStyle w:val="9"/>
      <w:tabs>
        <w:tab w:val="clear" w:pos="4153"/>
        <w:tab w:val="clear" w:pos="8306"/>
      </w:tabs>
      <w:jc w:val="center"/>
    </w:pPr>
    <w:r>
      <w:fldChar w:fldCharType="begin"/>
    </w:r>
    <w:r>
      <w:instrText xml:space="preserve">PAGE   \* MERGEFORMAT</w:instrText>
    </w:r>
    <w:r>
      <w:fldChar w:fldCharType="separate"/>
    </w:r>
    <w:r>
      <w:rPr>
        <w:lang w:val="zh-CN"/>
      </w:rPr>
      <w:t>2</w:t>
    </w:r>
    <w:r>
      <w:fldChar w:fldCharType="end"/>
    </w:r>
  </w:p>
  <w:p w14:paraId="5DB8161B">
    <w:pPr>
      <w:pStyle w:val="9"/>
      <w:tabs>
        <w:tab w:val="clear" w:pos="4153"/>
        <w:tab w:val="clear" w:pos="8306"/>
      </w:tab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E64AD">
    <w:pPr>
      <w:pStyle w:val="9"/>
      <w:framePr w:wrap="around" w:vAnchor="text" w:hAnchor="margin" w:xAlign="right" w:y="1"/>
      <w:tabs>
        <w:tab w:val="clear" w:pos="4153"/>
        <w:tab w:val="clear" w:pos="8306"/>
      </w:tabs>
    </w:pPr>
    <w:r>
      <w:fldChar w:fldCharType="begin"/>
    </w:r>
    <w:r>
      <w:rPr>
        <w:rStyle w:val="16"/>
      </w:rPr>
      <w:instrText xml:space="preserve">PAGE  </w:instrText>
    </w:r>
    <w:r>
      <w:fldChar w:fldCharType="end"/>
    </w:r>
  </w:p>
  <w:p w14:paraId="45091C8F">
    <w:pPr>
      <w:pStyle w:val="9"/>
      <w:tabs>
        <w:tab w:val="clear" w:pos="4153"/>
        <w:tab w:val="clear" w:pos="8306"/>
      </w:tab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97307">
    <w:pPr>
      <w:pStyle w:val="11"/>
      <w:pBdr>
        <w:bottom w:val="none" w:color="000000" w:sz="0" w:space="0"/>
      </w:pBdr>
      <w:tabs>
        <w:tab w:val="clear" w:pos="4153"/>
        <w:tab w:val="clear" w:pos="8306"/>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characterSpacingControl w:val="doNotCompress"/>
  <w:footnotePr>
    <w:footnote w:id="0"/>
    <w:footnote w:id="1"/>
  </w:footnotePr>
  <w:endnotePr>
    <w:endnote w:id="0"/>
    <w:endnote w:id="1"/>
  </w:endnotePr>
  <w:compat>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5B212E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character" w:default="1" w:styleId="3">
    <w:name w:val="Default Paragraph Font"/>
    <w:qFormat/>
    <w:uiPriority w:val="1"/>
  </w:style>
  <w:style w:type="table" w:default="1" w:styleId="2">
    <w:name w:val="Normal Table"/>
    <w:uiPriority w:val="99"/>
    <w:tblPr>
      <w:tblCellMar>
        <w:top w:w="0" w:type="dxa"/>
        <w:left w:w="108" w:type="dxa"/>
        <w:bottom w:w="0" w:type="dxa"/>
        <w:right w:w="108" w:type="dxa"/>
      </w:tblCellMar>
    </w:tblPr>
  </w:style>
  <w:style w:type="paragraph" w:customStyle="1" w:styleId="4">
    <w:name w:val="标题 11"/>
    <w:basedOn w:val="1"/>
    <w:qFormat/>
    <w:uiPriority w:val="0"/>
    <w:pPr>
      <w:keepNext/>
      <w:keepLines/>
      <w:spacing w:before="340" w:after="330" w:line="578" w:lineRule="auto"/>
      <w:outlineLvl w:val="0"/>
    </w:pPr>
    <w:rPr>
      <w:b/>
      <w:bCs/>
      <w:kern w:val="44"/>
      <w:sz w:val="44"/>
      <w:szCs w:val="44"/>
    </w:rPr>
  </w:style>
  <w:style w:type="character" w:customStyle="1" w:styleId="5">
    <w:name w:val="默认段落字体1"/>
    <w:qFormat/>
    <w:uiPriority w:val="0"/>
  </w:style>
  <w:style w:type="table" w:customStyle="1" w:styleId="6">
    <w:name w:val="普通表格1"/>
    <w:qFormat/>
    <w:uiPriority w:val="0"/>
    <w:pPr>
      <w:spacing w:line="278" w:lineRule="auto"/>
    </w:pPr>
    <w:rPr>
      <w:rFonts w:ascii="Calibri" w:hAnsi="Calibri"/>
      <w:kern w:val="2"/>
      <w:sz w:val="21"/>
      <w:szCs w:val="22"/>
    </w:rPr>
    <w:tblPr>
      <w:tblCellMar>
        <w:top w:w="0" w:type="dxa"/>
        <w:left w:w="0" w:type="dxa"/>
        <w:bottom w:w="0" w:type="dxa"/>
        <w:right w:w="0" w:type="dxa"/>
      </w:tblCellMar>
    </w:tblPr>
  </w:style>
  <w:style w:type="paragraph" w:customStyle="1" w:styleId="7">
    <w:name w:val="日期1"/>
    <w:basedOn w:val="1"/>
    <w:qFormat/>
    <w:uiPriority w:val="0"/>
    <w:pPr>
      <w:ind w:left="100" w:leftChars="2500"/>
    </w:pPr>
  </w:style>
  <w:style w:type="paragraph" w:customStyle="1" w:styleId="8">
    <w:name w:val="批注框文本1"/>
    <w:basedOn w:val="1"/>
    <w:qFormat/>
    <w:uiPriority w:val="0"/>
    <w:rPr>
      <w:sz w:val="18"/>
      <w:szCs w:val="18"/>
    </w:rPr>
  </w:style>
  <w:style w:type="paragraph" w:customStyle="1" w:styleId="9">
    <w:name w:val="页脚1"/>
    <w:basedOn w:val="1"/>
    <w:link w:val="10"/>
    <w:qFormat/>
    <w:uiPriority w:val="0"/>
    <w:pPr>
      <w:tabs>
        <w:tab w:val="center" w:pos="4153"/>
        <w:tab w:val="right" w:pos="8306"/>
      </w:tabs>
      <w:snapToGrid w:val="0"/>
      <w:jc w:val="left"/>
    </w:pPr>
    <w:rPr>
      <w:sz w:val="18"/>
      <w:szCs w:val="18"/>
    </w:rPr>
  </w:style>
  <w:style w:type="character" w:customStyle="1" w:styleId="10">
    <w:name w:val="页脚 Char"/>
    <w:link w:val="9"/>
    <w:qFormat/>
    <w:uiPriority w:val="0"/>
    <w:rPr>
      <w:kern w:val="2"/>
      <w:sz w:val="18"/>
      <w:szCs w:val="18"/>
    </w:rPr>
  </w:style>
  <w:style w:type="paragraph" w:customStyle="1" w:styleId="11">
    <w:name w:val="页眉1"/>
    <w:basedOn w:val="1"/>
    <w:link w:val="12"/>
    <w:qFormat/>
    <w:uiPriority w:val="0"/>
    <w:pPr>
      <w:pBdr>
        <w:bottom w:val="single" w:color="000000" w:sz="6" w:space="1"/>
      </w:pBdr>
      <w:tabs>
        <w:tab w:val="center" w:pos="4153"/>
        <w:tab w:val="right" w:pos="8306"/>
      </w:tabs>
      <w:snapToGrid w:val="0"/>
      <w:jc w:val="center"/>
    </w:pPr>
    <w:rPr>
      <w:sz w:val="18"/>
      <w:szCs w:val="18"/>
    </w:rPr>
  </w:style>
  <w:style w:type="character" w:customStyle="1" w:styleId="12">
    <w:name w:val="页眉 Char"/>
    <w:link w:val="11"/>
    <w:qFormat/>
    <w:uiPriority w:val="0"/>
    <w:rPr>
      <w:kern w:val="2"/>
      <w:sz w:val="18"/>
      <w:szCs w:val="18"/>
    </w:rPr>
  </w:style>
  <w:style w:type="paragraph" w:customStyle="1" w:styleId="13">
    <w:name w:val="正文文本缩进 31"/>
    <w:basedOn w:val="1"/>
    <w:qFormat/>
    <w:uiPriority w:val="0"/>
    <w:pPr>
      <w:ind w:firstLine="602" w:firstLineChars="200"/>
    </w:pPr>
    <w:rPr>
      <w:rFonts w:ascii="仿宋_GB2312" w:eastAsia="仿宋_GB2312"/>
      <w:b/>
      <w:sz w:val="30"/>
    </w:rPr>
  </w:style>
  <w:style w:type="paragraph" w:customStyle="1" w:styleId="14">
    <w:name w:val="普通(网站)1"/>
    <w:basedOn w:val="1"/>
    <w:qFormat/>
    <w:uiPriority w:val="0"/>
    <w:pPr>
      <w:widowControl/>
      <w:spacing w:before="100" w:beforeAutospacing="1" w:after="100" w:afterAutospacing="1"/>
      <w:jc w:val="left"/>
    </w:pPr>
    <w:rPr>
      <w:rFonts w:ascii="宋体" w:hAnsi="宋体"/>
      <w:color w:val="000000"/>
      <w:kern w:val="0"/>
      <w:sz w:val="24"/>
    </w:rPr>
  </w:style>
  <w:style w:type="character" w:customStyle="1" w:styleId="15">
    <w:name w:val="要点1"/>
    <w:qFormat/>
    <w:uiPriority w:val="0"/>
    <w:rPr>
      <w:b/>
      <w:bCs/>
    </w:rPr>
  </w:style>
  <w:style w:type="character" w:customStyle="1" w:styleId="16">
    <w:name w:val="页码1"/>
    <w:basedOn w:val="5"/>
    <w:qFormat/>
    <w:uiPriority w:val="0"/>
  </w:style>
  <w:style w:type="character" w:customStyle="1" w:styleId="17">
    <w:name w:val="已访问的超链接1"/>
    <w:qFormat/>
    <w:uiPriority w:val="0"/>
    <w:rPr>
      <w:color w:val="800080"/>
      <w:u w:val="single"/>
    </w:rPr>
  </w:style>
  <w:style w:type="character" w:customStyle="1" w:styleId="18">
    <w:name w:val="超链接1"/>
    <w:qFormat/>
    <w:uiPriority w:val="0"/>
    <w:rPr>
      <w:color w:val="0000FF"/>
      <w:u w:val="single"/>
    </w:rPr>
  </w:style>
  <w:style w:type="paragraph" w:customStyle="1" w:styleId="19">
    <w:name w:val="Char"/>
    <w:basedOn w:val="1"/>
    <w:qFormat/>
    <w:uiPriority w:val="0"/>
    <w:rPr>
      <w:rFonts w:ascii="Tahoma" w:hAnsi="Tahoma"/>
      <w:sz w:val="24"/>
      <w:szCs w:val="20"/>
    </w:rPr>
  </w:style>
  <w:style w:type="paragraph" w:customStyle="1" w:styleId="20">
    <w:name w:val="列出段落"/>
    <w:basedOn w:val="1"/>
    <w:qFormat/>
    <w:uiPriority w:val="0"/>
    <w:pPr>
      <w:ind w:firstLine="420" w:firstLineChars="200"/>
    </w:pPr>
    <w:rPr>
      <w:rFonts w:ascii="Calibri" w:hAnsi="Calibri"/>
      <w:szCs w:val="22"/>
    </w:rPr>
  </w:style>
  <w:style w:type="paragraph" w:customStyle="1" w:styleId="21">
    <w:name w:val="Body text|1"/>
    <w:basedOn w:val="1"/>
    <w:qFormat/>
    <w:uiPriority w:val="0"/>
    <w:pPr>
      <w:spacing w:after="0" w:line="336" w:lineRule="auto"/>
      <w:ind w:firstLine="320"/>
      <w:jc w:val="left"/>
    </w:pPr>
    <w:rPr>
      <w:rFonts w:hint="eastAsia" w:ascii="宋体" w:hAnsi="宋体"/>
      <w:color w:val="221F20"/>
      <w:kern w:val="0"/>
      <w:sz w:val="16"/>
      <w:szCs w:val="16"/>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1371</Words>
  <Characters>1421</Characters>
  <Paragraphs>38</Paragraphs>
  <TotalTime>0</TotalTime>
  <ScaleCrop>false</ScaleCrop>
  <LinksUpToDate>false</LinksUpToDate>
  <CharactersWithSpaces>1767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2026-09-02T01:11:00Z</dcterms:created>
  <dc:creator>周文浩</dc:creator>
  <cp:lastModifiedBy>馨馨</cp:lastModifiedBy>
  <cp:lastPrinted>2024-06-19T11:09:00Z</cp:lastPrinted>
  <dcterms:modified xsi:type="dcterms:W3CDTF">2026-09-16T06:33:11Z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eyJoZGlkIjoiNzNlODE5MWEzODBiZjZkN2RmOGExOGI3MjI1ZWJhZjAiLCJ1c2VySWQiOiIyMzAxMjYzNTMifQ==</vt:lpwstr>
  </property>
  <property fmtid="{D5CDD505-2E9C-101B-9397-08002B2CF9AE}" pid="4" name="ICV">
    <vt:lpwstr>eb25ed7965304a36af8a5753cffa21d2_23</vt:lpwstr>
  </property>
</Properties>
</file>