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17A" w:rsidRPr="0069317A" w:rsidRDefault="00220328" w:rsidP="007C1A5C">
      <w:pPr>
        <w:adjustRightInd w:val="0"/>
        <w:snapToGrid w:val="0"/>
        <w:spacing w:line="480" w:lineRule="auto"/>
        <w:jc w:val="center"/>
        <w:rPr>
          <w:rFonts w:hint="eastAsia"/>
          <w:b/>
          <w:sz w:val="40"/>
        </w:rPr>
      </w:pPr>
      <w:r w:rsidRPr="002C4C11">
        <w:rPr>
          <w:rFonts w:hint="eastAsia"/>
          <w:b/>
          <w:sz w:val="40"/>
        </w:rPr>
        <w:t>化工装备技术</w:t>
      </w:r>
      <w:r w:rsidR="00491F81" w:rsidRPr="002C4C11">
        <w:rPr>
          <w:b/>
          <w:sz w:val="40"/>
        </w:rPr>
        <w:t>专业</w:t>
      </w:r>
      <w:r w:rsidR="00491F81" w:rsidRPr="00491F81">
        <w:rPr>
          <w:rFonts w:hint="eastAsia"/>
          <w:b/>
          <w:sz w:val="40"/>
        </w:rPr>
        <w:t>毕业设计</w:t>
      </w:r>
      <w:r w:rsidR="00491F81" w:rsidRPr="00491F81">
        <w:rPr>
          <w:b/>
          <w:sz w:val="40"/>
        </w:rPr>
        <w:t>标准</w:t>
      </w:r>
    </w:p>
    <w:p w:rsidR="002E0F51" w:rsidRPr="00D959D5" w:rsidRDefault="002E0F5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为了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更好的指导做好</w:t>
      </w:r>
      <w:r w:rsidR="00220328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化工装备技术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专业学生的毕业设计工作，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根据省教育厅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关于加强新时代高等职业教育人才培养工作的若干意见》（</w:t>
      </w:r>
      <w:proofErr w:type="gramStart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湘教发</w:t>
      </w:r>
      <w:proofErr w:type="gramEnd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〔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2018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〕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38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号）、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《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关于进一步加强高职高专院校学生毕业设计工作的指导意见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》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proofErr w:type="gramStart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湘教发</w:t>
      </w:r>
      <w:proofErr w:type="gramEnd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〔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2019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〕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号）等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通知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文件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的要求，结合学校毕业设计工作的</w:t>
      </w:r>
      <w:r w:rsidR="00E456D9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相关</w:t>
      </w:r>
      <w:r w:rsidR="00E456D9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安排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部署</w:t>
      </w:r>
      <w:r w:rsidR="00E456D9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与</w:t>
      </w:r>
      <w:r w:rsidR="00E456D9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要求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，制定本毕业设</w:t>
      </w:r>
      <w:bookmarkStart w:id="0" w:name="_GoBack"/>
      <w:bookmarkEnd w:id="0"/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计标准。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一、毕业设计选题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（一）选题类别</w:t>
      </w:r>
    </w:p>
    <w:p w:rsidR="00491F81" w:rsidRPr="00D959D5" w:rsidRDefault="002E0F5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根据</w:t>
      </w:r>
      <w:r w:rsidR="00220328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化工装备技术</w:t>
      </w:r>
      <w:r w:rsidR="00491F81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专业教学标准以及人才培养定位，本专业</w:t>
      </w:r>
      <w:r w:rsidR="00491F81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毕业设计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选题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可以</w:t>
      </w:r>
      <w:r w:rsidR="00491F81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为产品设计类、工艺设计类、方案设计类等类型。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（二）选题要求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选题应符合本专业人才培养目标，有一定的综合性和典型性，能体现学生进行需求分析、技术信息检索、产品机构设计、结构设计、控制系统设计、改造方案设计、加工工艺设计、设备操作加工、零件装配调试、成本分析等专业综合能力和安全环保、创新协作等意识的培养要求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选题应贴近</w:t>
      </w:r>
      <w:r w:rsidR="001C1974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装备制造</w:t>
      </w:r>
      <w:r w:rsidR="00011582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、维修、维护、设计、加工等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企业生产、工作实际，尽可能来源于</w:t>
      </w:r>
      <w:r w:rsidR="00812853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</w:t>
      </w:r>
      <w:r w:rsidR="006A796B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设备、容器、机器、管路、控制系统</w:t>
      </w:r>
      <w:r w:rsidR="009C1EA7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等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企业真实生产项目，可以解决生产实际问题；选题提倡真题真做。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3.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选题应大小适中、难易适度，难易度和工作量应适合学生的知识和能力状况，保证学生在规定时间内工作量饱满，且能完成任务。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毕业设计原则上做到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一人一题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，选题避免雷同。对于工作量大的毕业设计选题，可分解为若干个子课题，学生分工设计，任务书中应明确每个学生的具体任务，并在成果要求中体现差异性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（三）选题示例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BB24A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硫酸储罐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="00A324B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结构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）新型万向联轴器的设计与制作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F514E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某某泵结构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DD214C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某锅炉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自动</w:t>
      </w:r>
      <w:r w:rsidR="00E24314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温度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控制系统设计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074FA5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</w:t>
      </w:r>
      <w:r w:rsidR="00FB793A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化工厂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智能</w:t>
      </w:r>
      <w:r w:rsidR="00994224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压力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报警装置的设计与制作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工艺设计类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377D05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换热器管板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加工工艺设计与实施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ED758A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压力</w:t>
      </w:r>
      <w:proofErr w:type="gramStart"/>
      <w:r w:rsidR="00ED758A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容器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</w:t>
      </w:r>
      <w:proofErr w:type="gramEnd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工艺设计与实施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）法兰管焊接工艺及工装设计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BA7C66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卧式二氧化碳储罐制造工艺设计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771FE7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甲酰胺产品冷却器制造工艺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设计与实施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方案设计类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653DC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化工离心泵振动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故障排除方案设计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8F02AA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氮气储罐制造工艺的方案设计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）碳纤维增强复合材料超声波检测方案设计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EA111A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脱硫废液</w:t>
      </w:r>
      <w:proofErr w:type="gramStart"/>
      <w:r w:rsidR="00EA111A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收集罐</w:t>
      </w:r>
      <w:r w:rsidR="00AC408F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物位</w:t>
      </w:r>
      <w:proofErr w:type="gramEnd"/>
      <w:r w:rsidR="00AC408F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检测数</w:t>
      </w:r>
      <w:r w:rsidR="00935DA9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字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化改造方案设计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4447F3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某某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小型</w:t>
      </w:r>
      <w:r w:rsidR="00076768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管</w:t>
      </w:r>
      <w:r w:rsidR="003F2ABF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路布管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改进方案设计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二、毕业设计成果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（一）产品设计类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成果表现形式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产品设计类毕业设计成果通常包括产品设计图纸（如工作原理图、产品装配图、主要零件图、</w:t>
      </w:r>
      <w:r w:rsidR="008813B4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控制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原理图、安装接线图等）、设计说明书、产品（样品）实物等。提倡在条件允许的情况下制作产品（样品）实物。对于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“XX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设计与制作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之类的课题，则要求学生制作出产品（样品）实物。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成果要求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）原理图、装配图、零件图、安装接线图等应正确、清晰、符合国家规范和行业标准；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）产品应达到设计功能和技术指标要求，有一定应用价值；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）设计说明书应详细反映产品设计过程，至少包括产品功能（需求）分析、设计方案分析和拟定、技术参数确定、产品功能效果分析等内容，其格式、排版应规范；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）以照片、视频等形式展现产品（样品）实物的，照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片、视频资料应能够清晰准确展现产品构造和功能特点；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）满足成本、环保、安全等方面的要求。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（二）工艺设计类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成果表现形式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工艺设计类毕业设计成果通常包括工艺规程、加工程序清单、专用夹具装配图及其主要零件图（根据任务要求确定）、实物作品、设计说明书等。提倡呈现实物作品，对于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“XX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工艺设计与实施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之类的课题，则要求学生制作出产品（样品）实物。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成果要求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）原理图、装配图、零件图、安装接线图等应正确、清晰、符合国家规范和行业标准；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）工艺路线、加工程序合理、可行，工艺规程填写完整、规范、准确；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）夹具的定位方案、夹紧方案合理；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）制作的零件和工装夹具实物应达到设计要求；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）设计说明书要详细反映工艺设计过程，通常包括技术要求分析、工艺路线拟定、工序设计、技术参数确定、工装夹具设计等内容，其格式、排版应规范。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（三）方案设计类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成果表现形式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方案设计类毕业设计成果通常为一个完整的方案，表现形式有</w:t>
      </w:r>
      <w:proofErr w:type="gramStart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某设备</w:t>
      </w:r>
      <w:proofErr w:type="gramEnd"/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或某产品的故障排除方案、维修方案、检测方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案、改造方案等。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2.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成果要求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）方案结构完整、要素完备，能清晰表达设计内容；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）方案撰写规范，图表、计算公式、参数和提供的技术文件符合行业、企业标准要求；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）方案设计合理，具有可操作性，能有效解决课题设计中所要解决的实际问题；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）满足成本、环保、安全等方面要求。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三、毕业设计成果质量评价</w:t>
      </w:r>
    </w:p>
    <w:p w:rsidR="00491F81" w:rsidRPr="00D959D5" w:rsidRDefault="00220328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化工装备技术</w:t>
      </w:r>
      <w:r w:rsidR="00491F8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专业毕业设计成果质量评价根据选题类别不同而有所区别，具体见表</w:t>
      </w:r>
      <w:r w:rsidR="00491F81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</w:t>
      </w:r>
      <w:r w:rsidR="00491F8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～表</w:t>
      </w:r>
      <w:r w:rsidR="00491F81"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 w:rsidR="00491F81"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1  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产品设计类毕业设计成果质量评价指标及权重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497"/>
      </w:tblGrid>
      <w:tr w:rsidR="00491F81" w:rsidRPr="00F9704E" w:rsidTr="00072BA2">
        <w:tc>
          <w:tcPr>
            <w:tcW w:w="1555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指</w:t>
            </w:r>
            <w:r w:rsidRPr="00F9704E">
              <w:rPr>
                <w:sz w:val="28"/>
                <w:szCs w:val="28"/>
              </w:rPr>
              <w:t xml:space="preserve"> </w:t>
            </w:r>
            <w:r w:rsidRPr="00F9704E">
              <w:rPr>
                <w:rFonts w:hint="eastAsia"/>
                <w:sz w:val="28"/>
                <w:szCs w:val="28"/>
              </w:rPr>
              <w:t>标</w:t>
            </w:r>
            <w:r w:rsidRPr="00F9704E">
              <w:rPr>
                <w:sz w:val="28"/>
                <w:szCs w:val="28"/>
              </w:rPr>
              <w:t xml:space="preserve"> </w:t>
            </w:r>
            <w:r w:rsidRPr="00F9704E">
              <w:rPr>
                <w:rFonts w:hint="eastAsia"/>
                <w:sz w:val="28"/>
                <w:szCs w:val="28"/>
              </w:rPr>
              <w:t>内</w:t>
            </w:r>
            <w:r w:rsidRPr="00F9704E">
              <w:rPr>
                <w:sz w:val="28"/>
                <w:szCs w:val="28"/>
              </w:rPr>
              <w:t xml:space="preserve"> </w:t>
            </w:r>
            <w:r w:rsidRPr="00F9704E">
              <w:rPr>
                <w:rFonts w:hint="eastAsia"/>
                <w:sz w:val="28"/>
                <w:szCs w:val="28"/>
              </w:rPr>
              <w:t>涵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分值权重</w:t>
            </w:r>
          </w:p>
        </w:tc>
      </w:tr>
      <w:tr w:rsidR="00491F81" w:rsidRPr="00F9704E" w:rsidTr="00072BA2">
        <w:tc>
          <w:tcPr>
            <w:tcW w:w="1555" w:type="dxa"/>
            <w:vMerge w:val="restart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科学性</w:t>
            </w:r>
          </w:p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（</w:t>
            </w:r>
            <w:r w:rsidRPr="00F9704E">
              <w:rPr>
                <w:sz w:val="28"/>
                <w:szCs w:val="28"/>
              </w:rPr>
              <w:t>30</w:t>
            </w:r>
            <w:r w:rsidRPr="00F9704E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产品设计相关技术文件表达准确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10</w:t>
            </w:r>
          </w:p>
        </w:tc>
      </w:tr>
      <w:tr w:rsidR="00491F81" w:rsidRPr="00F9704E" w:rsidTr="00072BA2">
        <w:tc>
          <w:tcPr>
            <w:tcW w:w="1555" w:type="dxa"/>
            <w:vMerge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设计方案科学、可行，技术原理、理论依据选择合理，有关参数计算准确，分析、推导正确且逻辑性强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10</w:t>
            </w:r>
          </w:p>
        </w:tc>
      </w:tr>
      <w:tr w:rsidR="00491F81" w:rsidRPr="00F9704E" w:rsidTr="00072BA2">
        <w:tc>
          <w:tcPr>
            <w:tcW w:w="1555" w:type="dxa"/>
            <w:vMerge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应用了本专业领域中新知识、新技术、新工艺、新材料、新方法、新设备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10</w:t>
            </w:r>
          </w:p>
        </w:tc>
      </w:tr>
      <w:tr w:rsidR="00491F81" w:rsidRPr="00F9704E" w:rsidTr="00072BA2">
        <w:tc>
          <w:tcPr>
            <w:tcW w:w="1555" w:type="dxa"/>
            <w:vMerge w:val="restart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规范性</w:t>
            </w:r>
          </w:p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（</w:t>
            </w:r>
            <w:r w:rsidRPr="00F9704E">
              <w:rPr>
                <w:sz w:val="28"/>
                <w:szCs w:val="28"/>
              </w:rPr>
              <w:t>20</w:t>
            </w:r>
            <w:r w:rsidRPr="00F9704E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产品原理图、零件图和装配图等技术文件规范，符合国家或行业标准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10</w:t>
            </w:r>
          </w:p>
        </w:tc>
      </w:tr>
      <w:tr w:rsidR="00491F81" w:rsidRPr="00F9704E" w:rsidTr="00072BA2">
        <w:tc>
          <w:tcPr>
            <w:tcW w:w="1555" w:type="dxa"/>
            <w:vMerge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设计说明书条理清晰，体现了产品设计思</w:t>
            </w:r>
            <w:r w:rsidRPr="00F9704E">
              <w:rPr>
                <w:rFonts w:hint="eastAsia"/>
                <w:sz w:val="28"/>
                <w:szCs w:val="28"/>
              </w:rPr>
              <w:lastRenderedPageBreak/>
              <w:t>路和过程，格式、排版规范，参考资料的引用等标识规范准确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lastRenderedPageBreak/>
              <w:t>10</w:t>
            </w:r>
          </w:p>
        </w:tc>
      </w:tr>
      <w:tr w:rsidR="00491F81" w:rsidRPr="00F9704E" w:rsidTr="00072BA2">
        <w:tc>
          <w:tcPr>
            <w:tcW w:w="1555" w:type="dxa"/>
            <w:vMerge w:val="restart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完整性</w:t>
            </w:r>
          </w:p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（</w:t>
            </w:r>
            <w:r w:rsidRPr="00F9704E">
              <w:rPr>
                <w:sz w:val="28"/>
                <w:szCs w:val="28"/>
              </w:rPr>
              <w:t>30</w:t>
            </w:r>
            <w:r w:rsidRPr="00F9704E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提交的成果能完整表达设计内容和要求，完整回答选题所要解决的问题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10</w:t>
            </w:r>
          </w:p>
        </w:tc>
      </w:tr>
      <w:tr w:rsidR="00491F81" w:rsidRPr="00F9704E" w:rsidTr="00072BA2">
        <w:tc>
          <w:tcPr>
            <w:tcW w:w="1555" w:type="dxa"/>
            <w:vMerge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设计说明书完整记录产品功能（需求）分析、设计方案分析和拟定、技术参数确定、设计方案成型、产品功能效果分析等基本过程及其过程性结论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15</w:t>
            </w:r>
          </w:p>
        </w:tc>
      </w:tr>
      <w:tr w:rsidR="00491F81" w:rsidRPr="00F9704E" w:rsidTr="00072BA2">
        <w:tc>
          <w:tcPr>
            <w:tcW w:w="1555" w:type="dxa"/>
            <w:vMerge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制作出产品（样品）实物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5</w:t>
            </w:r>
          </w:p>
        </w:tc>
      </w:tr>
      <w:tr w:rsidR="00491F81" w:rsidRPr="00F9704E" w:rsidTr="00072BA2">
        <w:tc>
          <w:tcPr>
            <w:tcW w:w="1555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实用性</w:t>
            </w:r>
          </w:p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（</w:t>
            </w:r>
            <w:r w:rsidRPr="00F9704E">
              <w:rPr>
                <w:sz w:val="28"/>
                <w:szCs w:val="28"/>
              </w:rPr>
              <w:t>20</w:t>
            </w:r>
            <w:r w:rsidRPr="00F9704E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F9704E" w:rsidRDefault="00491F81" w:rsidP="00072BA2">
            <w:pPr>
              <w:rPr>
                <w:sz w:val="28"/>
                <w:szCs w:val="28"/>
              </w:rPr>
            </w:pPr>
            <w:r w:rsidRPr="00F9704E">
              <w:rPr>
                <w:rFonts w:hint="eastAsia"/>
                <w:sz w:val="28"/>
                <w:szCs w:val="28"/>
              </w:rPr>
              <w:t>产品达到设计的功能和技术指标要求，能解决企业生产、社会生活中的实际问题，有一定应用价值</w:t>
            </w:r>
          </w:p>
        </w:tc>
        <w:tc>
          <w:tcPr>
            <w:tcW w:w="1497" w:type="dxa"/>
            <w:vAlign w:val="center"/>
          </w:tcPr>
          <w:p w:rsidR="00491F81" w:rsidRPr="00F9704E" w:rsidRDefault="00491F81" w:rsidP="004A7839">
            <w:pPr>
              <w:jc w:val="center"/>
              <w:rPr>
                <w:sz w:val="28"/>
                <w:szCs w:val="28"/>
              </w:rPr>
            </w:pPr>
            <w:r w:rsidRPr="00F9704E">
              <w:rPr>
                <w:sz w:val="28"/>
                <w:szCs w:val="28"/>
              </w:rPr>
              <w:t>20</w:t>
            </w:r>
          </w:p>
        </w:tc>
      </w:tr>
    </w:tbl>
    <w:p w:rsidR="00491F81" w:rsidRPr="00D959D5" w:rsidRDefault="00491F8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2  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工艺设计类毕业设计成果质量评价指标及权重</w:t>
      </w:r>
    </w:p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555"/>
        <w:gridCol w:w="5244"/>
        <w:gridCol w:w="1552"/>
      </w:tblGrid>
      <w:tr w:rsidR="00491F81" w:rsidRPr="00D959D5" w:rsidTr="00E07864">
        <w:tc>
          <w:tcPr>
            <w:tcW w:w="1555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指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标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内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涵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分值权重</w:t>
            </w:r>
          </w:p>
        </w:tc>
      </w:tr>
      <w:tr w:rsidR="00491F81" w:rsidRPr="00D959D5" w:rsidTr="00E07864">
        <w:tc>
          <w:tcPr>
            <w:tcW w:w="1555" w:type="dxa"/>
            <w:vMerge w:val="restart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科学性</w:t>
            </w:r>
          </w:p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30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工艺路线合理、可行，工艺规程、相关图纸等技术文件表达准确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技术标准运用正确，工具选择恰当，工艺设计相关数据选择合理、计算准确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应用了本专业领域中新知识、新技术、新工艺、新材料、新方法、新设备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 w:val="restart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规范性</w:t>
            </w:r>
          </w:p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20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工艺规程、零件图、装配图等技术文件规范，符合国家和行业标准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设计说明书条理清晰，体现了工艺设计思路和过程，其格式、排版规范，参考资料的引用等标识规范准确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 w:val="restart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完整性</w:t>
            </w:r>
          </w:p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30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提交的成果符合任务书规定要求，能完整表达设计内容和要求，完整回答选题所要解决的问题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491F81" w:rsidRPr="00D959D5" w:rsidTr="00E07864">
        <w:tc>
          <w:tcPr>
            <w:tcW w:w="1555" w:type="dxa"/>
            <w:vMerge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毕业设计说明书完整记录技术要求分析、工艺路线拟定、工序设计、技术参数确定、工装夹具设计（根据任务需要定）等基本过程及其过程性结论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15</w:t>
            </w:r>
          </w:p>
        </w:tc>
      </w:tr>
      <w:tr w:rsidR="00491F81" w:rsidRPr="00D959D5" w:rsidTr="00E07864">
        <w:tc>
          <w:tcPr>
            <w:tcW w:w="1555" w:type="dxa"/>
            <w:vMerge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491F81" w:rsidRPr="00220210" w:rsidRDefault="00491F8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制作出作品（样品）实物</w:t>
            </w:r>
          </w:p>
        </w:tc>
        <w:tc>
          <w:tcPr>
            <w:tcW w:w="1552" w:type="dxa"/>
            <w:vAlign w:val="center"/>
          </w:tcPr>
          <w:p w:rsidR="00491F81" w:rsidRPr="00220210" w:rsidRDefault="00491F8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5</w:t>
            </w:r>
          </w:p>
        </w:tc>
      </w:tr>
      <w:tr w:rsidR="002E0F51" w:rsidRPr="00D959D5" w:rsidTr="00E07864">
        <w:tc>
          <w:tcPr>
            <w:tcW w:w="1555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实用性</w:t>
            </w:r>
          </w:p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20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E07864">
            <w:pPr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工艺设计能有效解决生产实践中的实际问题，有一定应用价值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20</w:t>
            </w:r>
          </w:p>
        </w:tc>
      </w:tr>
    </w:tbl>
    <w:p w:rsidR="00491F81" w:rsidRPr="00D959D5" w:rsidRDefault="002E0F51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表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3  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方案设计类毕业设计成果质量评价指标及权重</w:t>
      </w:r>
    </w:p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555"/>
        <w:gridCol w:w="5244"/>
        <w:gridCol w:w="1552"/>
      </w:tblGrid>
      <w:tr w:rsidR="002E0F51" w:rsidRPr="00D959D5" w:rsidTr="003E55AD">
        <w:tc>
          <w:tcPr>
            <w:tcW w:w="1555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评价指标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指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标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内</w:t>
            </w:r>
            <w:r w:rsidRPr="00220210">
              <w:rPr>
                <w:sz w:val="28"/>
                <w:szCs w:val="28"/>
              </w:rPr>
              <w:t xml:space="preserve"> </w:t>
            </w:r>
            <w:r w:rsidRPr="00220210">
              <w:rPr>
                <w:rFonts w:hint="eastAsia"/>
                <w:sz w:val="28"/>
                <w:szCs w:val="28"/>
              </w:rPr>
              <w:t>涵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分值权重</w:t>
            </w:r>
          </w:p>
        </w:tc>
      </w:tr>
      <w:tr w:rsidR="002E0F51" w:rsidRPr="00D959D5" w:rsidTr="003E55AD">
        <w:tc>
          <w:tcPr>
            <w:tcW w:w="1555" w:type="dxa"/>
            <w:vMerge w:val="restart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科学性</w:t>
            </w:r>
          </w:p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30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技术路线科学、可行，步骤合理，方法运用得当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技术标准等运用正确，技术原理、理论依据或数学模型选择合理，技术参数计算准确，相关数据详实、充分、明确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应用了本专业领域中新知识、新技术、新工艺、新材料、新方法、新设备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 w:val="restart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lastRenderedPageBreak/>
              <w:t>规范性</w:t>
            </w:r>
          </w:p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20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方案能体现设计思路和过程，其格式、排版规范，图表、计算公式和需提供的技术文件等符合国家或行业标准的规范与要求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参考资料的引用、参考方案的来源等标识规范准确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 w:val="restart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完整性</w:t>
            </w:r>
          </w:p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30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方案要素完备，能清晰表达设计内容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10</w:t>
            </w:r>
          </w:p>
        </w:tc>
      </w:tr>
      <w:tr w:rsidR="002E0F51" w:rsidRPr="00D959D5" w:rsidTr="003E55AD">
        <w:tc>
          <w:tcPr>
            <w:tcW w:w="1555" w:type="dxa"/>
            <w:vMerge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设计方案分析、方案拟定、技术参数确定、预期成效及功能效果分析等基本过程及其过程性结论完整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20</w:t>
            </w:r>
          </w:p>
        </w:tc>
      </w:tr>
      <w:tr w:rsidR="002E0F51" w:rsidRPr="00D959D5" w:rsidTr="003E55AD">
        <w:tc>
          <w:tcPr>
            <w:tcW w:w="1555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实用性</w:t>
            </w:r>
          </w:p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（</w:t>
            </w:r>
            <w:r w:rsidRPr="00220210">
              <w:rPr>
                <w:sz w:val="28"/>
                <w:szCs w:val="28"/>
              </w:rPr>
              <w:t>20</w:t>
            </w:r>
            <w:r w:rsidRPr="00220210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5244" w:type="dxa"/>
            <w:vAlign w:val="center"/>
          </w:tcPr>
          <w:p w:rsidR="002E0F51" w:rsidRPr="00220210" w:rsidRDefault="002E0F51" w:rsidP="00A654F0">
            <w:pPr>
              <w:jc w:val="left"/>
              <w:rPr>
                <w:sz w:val="28"/>
                <w:szCs w:val="28"/>
              </w:rPr>
            </w:pPr>
            <w:r w:rsidRPr="00220210">
              <w:rPr>
                <w:rFonts w:hint="eastAsia"/>
                <w:sz w:val="28"/>
                <w:szCs w:val="28"/>
              </w:rPr>
              <w:t>方案可操作性强，能解决企业生产、社会生活中的实际问题，有一定应用价值</w:t>
            </w:r>
          </w:p>
        </w:tc>
        <w:tc>
          <w:tcPr>
            <w:tcW w:w="1552" w:type="dxa"/>
            <w:vAlign w:val="center"/>
          </w:tcPr>
          <w:p w:rsidR="002E0F51" w:rsidRPr="00220210" w:rsidRDefault="002E0F51" w:rsidP="00220210">
            <w:pPr>
              <w:jc w:val="center"/>
              <w:rPr>
                <w:sz w:val="28"/>
                <w:szCs w:val="28"/>
              </w:rPr>
            </w:pPr>
            <w:r w:rsidRPr="00220210">
              <w:rPr>
                <w:sz w:val="28"/>
                <w:szCs w:val="28"/>
              </w:rPr>
              <w:t>20</w:t>
            </w:r>
          </w:p>
        </w:tc>
      </w:tr>
    </w:tbl>
    <w:p w:rsidR="00037D75" w:rsidRPr="00D959D5" w:rsidRDefault="00037D75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四、毕业设计成绩构成</w:t>
      </w:r>
    </w:p>
    <w:p w:rsidR="002E0F51" w:rsidRPr="00D959D5" w:rsidRDefault="00037D75" w:rsidP="00D959D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毕业设计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总评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成绩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包含设计过程、成果质量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、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答辩情况三部分，其中设计过程和答辩情况各占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25%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D959D5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成果质量占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50%</w:t>
      </w:r>
      <w:r w:rsidRPr="00D959D5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sectPr w:rsidR="002E0F51" w:rsidRPr="00D9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7A15" w:rsidRDefault="00DA7A15" w:rsidP="00037D75">
      <w:r>
        <w:separator/>
      </w:r>
    </w:p>
  </w:endnote>
  <w:endnote w:type="continuationSeparator" w:id="0">
    <w:p w:rsidR="00DA7A15" w:rsidRDefault="00DA7A15" w:rsidP="0003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7A15" w:rsidRDefault="00DA7A15" w:rsidP="00037D75">
      <w:r>
        <w:separator/>
      </w:r>
    </w:p>
  </w:footnote>
  <w:footnote w:type="continuationSeparator" w:id="0">
    <w:p w:rsidR="00DA7A15" w:rsidRDefault="00DA7A15" w:rsidP="00037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53"/>
    <w:rsid w:val="00011582"/>
    <w:rsid w:val="00037D75"/>
    <w:rsid w:val="00067E3D"/>
    <w:rsid w:val="00072BA2"/>
    <w:rsid w:val="00074FA5"/>
    <w:rsid w:val="00076768"/>
    <w:rsid w:val="000C7442"/>
    <w:rsid w:val="000E5811"/>
    <w:rsid w:val="000F514E"/>
    <w:rsid w:val="00111512"/>
    <w:rsid w:val="001278E8"/>
    <w:rsid w:val="0015236E"/>
    <w:rsid w:val="001C1974"/>
    <w:rsid w:val="00220210"/>
    <w:rsid w:val="00220328"/>
    <w:rsid w:val="002855F5"/>
    <w:rsid w:val="002A3F2C"/>
    <w:rsid w:val="002C4C11"/>
    <w:rsid w:val="002E0F51"/>
    <w:rsid w:val="00325604"/>
    <w:rsid w:val="00361BCC"/>
    <w:rsid w:val="00377D05"/>
    <w:rsid w:val="003E55AD"/>
    <w:rsid w:val="003F2ABF"/>
    <w:rsid w:val="004447F3"/>
    <w:rsid w:val="00491F81"/>
    <w:rsid w:val="004A7839"/>
    <w:rsid w:val="00517153"/>
    <w:rsid w:val="00523071"/>
    <w:rsid w:val="005E1C5A"/>
    <w:rsid w:val="00610213"/>
    <w:rsid w:val="00653DC1"/>
    <w:rsid w:val="0066409D"/>
    <w:rsid w:val="0069317A"/>
    <w:rsid w:val="006A796B"/>
    <w:rsid w:val="00704230"/>
    <w:rsid w:val="00707538"/>
    <w:rsid w:val="00771FE7"/>
    <w:rsid w:val="00773A09"/>
    <w:rsid w:val="00790E6C"/>
    <w:rsid w:val="007C1A5C"/>
    <w:rsid w:val="00812853"/>
    <w:rsid w:val="00830E2B"/>
    <w:rsid w:val="0083406C"/>
    <w:rsid w:val="00877EC4"/>
    <w:rsid w:val="008813B4"/>
    <w:rsid w:val="00894574"/>
    <w:rsid w:val="008F02AA"/>
    <w:rsid w:val="00900275"/>
    <w:rsid w:val="0091737D"/>
    <w:rsid w:val="00924F02"/>
    <w:rsid w:val="00935DA9"/>
    <w:rsid w:val="00994224"/>
    <w:rsid w:val="009C1EA7"/>
    <w:rsid w:val="00A324B1"/>
    <w:rsid w:val="00A446F2"/>
    <w:rsid w:val="00A60FE0"/>
    <w:rsid w:val="00A654F0"/>
    <w:rsid w:val="00A8427F"/>
    <w:rsid w:val="00AC408F"/>
    <w:rsid w:val="00B012FF"/>
    <w:rsid w:val="00B25CAF"/>
    <w:rsid w:val="00B37F75"/>
    <w:rsid w:val="00BA5C0D"/>
    <w:rsid w:val="00BA7C66"/>
    <w:rsid w:val="00BB24A1"/>
    <w:rsid w:val="00BB457C"/>
    <w:rsid w:val="00C556A8"/>
    <w:rsid w:val="00CD2E5E"/>
    <w:rsid w:val="00D17DD5"/>
    <w:rsid w:val="00D4195A"/>
    <w:rsid w:val="00D648F3"/>
    <w:rsid w:val="00D959D5"/>
    <w:rsid w:val="00DA2CE9"/>
    <w:rsid w:val="00DA7A15"/>
    <w:rsid w:val="00DD214C"/>
    <w:rsid w:val="00DD3394"/>
    <w:rsid w:val="00E02F80"/>
    <w:rsid w:val="00E07864"/>
    <w:rsid w:val="00E24314"/>
    <w:rsid w:val="00E42EE8"/>
    <w:rsid w:val="00E456D9"/>
    <w:rsid w:val="00EA111A"/>
    <w:rsid w:val="00EA4850"/>
    <w:rsid w:val="00ED758A"/>
    <w:rsid w:val="00EE351C"/>
    <w:rsid w:val="00F54C72"/>
    <w:rsid w:val="00F86E01"/>
    <w:rsid w:val="00F91FD7"/>
    <w:rsid w:val="00F9704E"/>
    <w:rsid w:val="00FB793A"/>
    <w:rsid w:val="00F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86A05"/>
  <w15:chartTrackingRefBased/>
  <w15:docId w15:val="{9B9841C5-5E7F-496F-B2A3-8C20F119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1F8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9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7D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7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486</Words>
  <Characters>2773</Characters>
  <Application>Microsoft Office Word</Application>
  <DocSecurity>0</DocSecurity>
  <Lines>23</Lines>
  <Paragraphs>6</Paragraphs>
  <ScaleCrop>false</ScaleCrop>
  <Company>China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HGZY</dc:creator>
  <cp:keywords/>
  <dc:description/>
  <cp:lastModifiedBy>javaok</cp:lastModifiedBy>
  <cp:revision>102</cp:revision>
  <dcterms:created xsi:type="dcterms:W3CDTF">2023-09-04T10:38:00Z</dcterms:created>
  <dcterms:modified xsi:type="dcterms:W3CDTF">2023-09-04T12:30:00Z</dcterms:modified>
</cp:coreProperties>
</file>