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bookmarkStart w:id="0" w:name="_GoBack"/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 智能控制数据交互采集系统V1.0</w:t>
      </w:r>
    </w:p>
    <w:bookmarkEnd w:id="0"/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智能控制数据交互采集系统V1.0</w:t>
      </w:r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专利号：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2024SR0756153</w:t>
      </w:r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软件著作权</w:t>
      </w:r>
    </w:p>
    <w:p>
      <w:pPr>
        <w:spacing w:line="360" w:lineRule="auto"/>
        <w:ind w:firstLine="514" w:firstLineChars="200"/>
        <w:jc w:val="left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发明人：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董宗哲  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智能控制数据交互采集系统，能够实时采集企业和组织中各种不同厂商的安全设备、网络设备、主机、操作系统、以及各种应用系统产生的日志、事件、报警等信息，并将数据信息汇集到展示平台，进行集中存储、展现、查询和审计。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湖南纽迈司自动化有限公司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万元整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12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12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12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（公示10日）</w:t>
      </w:r>
    </w:p>
    <w:p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22537692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7132DF5"/>
    <w:rsid w:val="0ADC1367"/>
    <w:rsid w:val="0FCC4BE7"/>
    <w:rsid w:val="138A3CB7"/>
    <w:rsid w:val="17512EBA"/>
    <w:rsid w:val="2551349F"/>
    <w:rsid w:val="2A066ECE"/>
    <w:rsid w:val="419174E3"/>
    <w:rsid w:val="5D1B5A99"/>
    <w:rsid w:val="5F391ECF"/>
    <w:rsid w:val="609747A1"/>
    <w:rsid w:val="61DE601D"/>
    <w:rsid w:val="759A18B9"/>
    <w:rsid w:val="7977164A"/>
    <w:rsid w:val="7AC7486C"/>
    <w:rsid w:val="7C7A52B8"/>
    <w:rsid w:val="FE77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brary/Containers/com.kingsoft.wpsoffice.mac/Data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309</Words>
  <Characters>964</Characters>
  <Lines>4</Lines>
  <Paragraphs>1</Paragraphs>
  <TotalTime>7</TotalTime>
  <ScaleCrop>false</ScaleCrop>
  <LinksUpToDate>false</LinksUpToDate>
  <CharactersWithSpaces>980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2024-12-13T16:37:00Z</dcterms:created>
  <dc:creator>Adminstrator</dc:creator>
  <cp:lastModifiedBy>吴志宏</cp:lastModifiedBy>
  <cp:lastPrinted>2024-12-16T14:52:00Z</cp:lastPrinted>
  <dcterms:modified xsi:type="dcterms:W3CDTF">2025-12-31T15:53:40Z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eyJoZGlkIjoiYTA3YjJhNDE0YzgxNTgxYzlmNGI2OGU1MmRjYzdjNTgiLCJ1c2VySWQiOiI0NjQ1Nzc1MDkifQ==</vt:lpwstr>
  </property>
</Properties>
</file>