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rPr>
          <w:rFonts w:ascii="方正小标宋简体" w:hAnsi="方正小标宋简体" w:eastAsia="方正小标宋简体" w:cs="方正小标宋简体"/>
          <w:spacing w:val="0"/>
          <w:sz w:val="43"/>
          <w:szCs w:val="43"/>
        </w:rPr>
      </w:pPr>
      <w:r>
        <w:rPr>
          <w:rFonts w:ascii="方正小标宋简体" w:hAnsi="方正小标宋简体" w:eastAsia="方正小标宋简体" w:cs="方正小标宋简体"/>
          <w:spacing w:val="0"/>
          <w:sz w:val="43"/>
          <w:szCs w:val="43"/>
        </w:rPr>
        <w:t>国家社会科学基金项目资金管理办法</w:t>
      </w:r>
    </w:p>
    <w:p>
      <w:pPr>
        <w:pStyle w:val="2"/>
        <w:keepNext w:val="0"/>
        <w:keepLines w:val="0"/>
        <w:widowControl/>
        <w:suppressLineNumbers w:val="0"/>
        <w:jc w:val="center"/>
        <w:rPr>
          <w:rFonts w:hint="eastAsia" w:ascii="方正小标宋简体" w:hAnsi="方正小标宋简体" w:eastAsia="方正小标宋简体" w:cs="方正小标宋简体"/>
          <w:spacing w:val="0"/>
          <w:sz w:val="43"/>
          <w:szCs w:val="43"/>
          <w:lang w:eastAsia="zh-CN"/>
        </w:rPr>
      </w:pPr>
      <w:r>
        <w:rPr>
          <w:rFonts w:hint="eastAsia" w:ascii="方正小标宋简体" w:hAnsi="方正小标宋简体" w:eastAsia="方正小标宋简体" w:cs="方正小标宋简体"/>
          <w:spacing w:val="0"/>
          <w:sz w:val="43"/>
          <w:szCs w:val="43"/>
          <w:lang w:eastAsia="zh-CN"/>
        </w:rPr>
        <w:t>（</w:t>
      </w:r>
      <w:r>
        <w:rPr>
          <w:rFonts w:hint="eastAsia" w:ascii="方正小标宋简体" w:hAnsi="方正小标宋简体" w:eastAsia="方正小标宋简体" w:cs="方正小标宋简体"/>
          <w:spacing w:val="0"/>
          <w:sz w:val="43"/>
          <w:szCs w:val="43"/>
          <w:lang w:val="en-US" w:eastAsia="zh-CN"/>
        </w:rPr>
        <w:t>2021年修订版</w:t>
      </w:r>
      <w:r>
        <w:rPr>
          <w:rFonts w:hint="eastAsia" w:ascii="方正小标宋简体" w:hAnsi="方正小标宋简体" w:eastAsia="方正小标宋简体" w:cs="方正小标宋简体"/>
          <w:spacing w:val="0"/>
          <w:sz w:val="43"/>
          <w:szCs w:val="43"/>
          <w:lang w:eastAsia="zh-CN"/>
        </w:rPr>
        <w:t>）（财</w:t>
      </w:r>
      <w:bookmarkStart w:id="0" w:name="_GoBack"/>
      <w:bookmarkEnd w:id="0"/>
      <w:r>
        <w:rPr>
          <w:rFonts w:hint="eastAsia" w:ascii="方正小标宋简体" w:hAnsi="方正小标宋简体" w:eastAsia="方正小标宋简体" w:cs="方正小标宋简体"/>
          <w:spacing w:val="0"/>
          <w:sz w:val="43"/>
          <w:szCs w:val="43"/>
          <w:lang w:eastAsia="zh-CN"/>
        </w:rPr>
        <w:t>教〔2021〕237号）</w:t>
      </w:r>
    </w:p>
    <w:p>
      <w:pPr>
        <w:pStyle w:val="2"/>
        <w:keepNext w:val="0"/>
        <w:keepLines w:val="0"/>
        <w:widowControl/>
        <w:suppressLineNumbers w:val="0"/>
        <w:spacing w:line="293" w:lineRule="atLeast"/>
        <w:jc w:val="center"/>
      </w:pPr>
    </w:p>
    <w:p>
      <w:pPr>
        <w:pStyle w:val="2"/>
        <w:keepNext w:val="0"/>
        <w:keepLines w:val="0"/>
        <w:widowControl/>
        <w:suppressLineNumbers w:val="0"/>
        <w:spacing w:line="293" w:lineRule="atLeast"/>
        <w:jc w:val="center"/>
      </w:pPr>
      <w:r>
        <w:rPr>
          <w:rFonts w:ascii="黑体" w:hAnsi="宋体" w:eastAsia="黑体" w:cs="黑体"/>
          <w:color w:val="000000"/>
          <w:sz w:val="31"/>
          <w:szCs w:val="31"/>
        </w:rPr>
        <w:t>第一章  总  则</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第一条</w:t>
      </w:r>
      <w:r>
        <w:rPr>
          <w:rFonts w:hint="eastAsia" w:ascii="黑体" w:hAnsi="宋体" w:eastAsia="黑体" w:cs="黑体"/>
          <w:spacing w:val="0"/>
          <w:sz w:val="31"/>
          <w:szCs w:val="31"/>
          <w:lang w:val="en-US"/>
        </w:rPr>
        <w:t> </w:t>
      </w:r>
      <w:r>
        <w:rPr>
          <w:rFonts w:ascii="仿宋_gb2312" w:hAnsi="仿宋_gb2312" w:eastAsia="仿宋_gb2312" w:cs="仿宋_gb2312"/>
          <w:spacing w:val="0"/>
          <w:sz w:val="31"/>
          <w:szCs w:val="31"/>
        </w:rPr>
        <w:t>为规范国家社会科学基金（以下简称国家社科基金）项目资金使用和管理，提高资金使用效益，更好推动哲学社会科学繁荣发展，根据国家财政财务管理有关法律法规和《中共中央办公厅 国务院办公厅印发</w:t>
      </w:r>
      <w:r>
        <w:rPr>
          <w:rFonts w:hint="default" w:ascii="仿宋_gb2312" w:hAnsi="仿宋_gb2312" w:eastAsia="仿宋_gb2312" w:cs="仿宋_gb2312"/>
          <w:spacing w:val="0"/>
          <w:sz w:val="31"/>
          <w:szCs w:val="31"/>
          <w:lang w:val="en-US"/>
        </w:rPr>
        <w:t>&lt;</w:t>
      </w:r>
      <w:r>
        <w:rPr>
          <w:rFonts w:hint="default" w:ascii="仿宋_gb2312" w:hAnsi="仿宋_gb2312" w:eastAsia="仿宋_gb2312" w:cs="仿宋_gb2312"/>
          <w:spacing w:val="0"/>
          <w:sz w:val="31"/>
          <w:szCs w:val="31"/>
        </w:rPr>
        <w:t>关于进一步完善中央财政科研项目资金管理等政策的若干意见</w:t>
      </w:r>
      <w:r>
        <w:rPr>
          <w:rFonts w:hint="default" w:ascii="仿宋_gb2312" w:hAnsi="仿宋_gb2312" w:eastAsia="仿宋_gb2312" w:cs="仿宋_gb2312"/>
          <w:spacing w:val="0"/>
          <w:sz w:val="31"/>
          <w:szCs w:val="31"/>
          <w:lang w:val="en-US"/>
        </w:rPr>
        <w:t>&gt;</w:t>
      </w:r>
      <w:r>
        <w:rPr>
          <w:rFonts w:hint="default" w:ascii="仿宋_gb2312" w:hAnsi="仿宋_gb2312" w:eastAsia="仿宋_gb2312" w:cs="仿宋_gb2312"/>
          <w:spacing w:val="0"/>
          <w:sz w:val="31"/>
          <w:szCs w:val="31"/>
        </w:rPr>
        <w:t>的通知》、《国务院关于优化科研管理提升科研绩效若干措施的通知》（国发〔</w:t>
      </w:r>
      <w:r>
        <w:rPr>
          <w:rFonts w:hint="default" w:ascii="仿宋_gb2312" w:hAnsi="仿宋_gb2312" w:eastAsia="仿宋_gb2312" w:cs="仿宋_gb2312"/>
          <w:spacing w:val="0"/>
          <w:sz w:val="31"/>
          <w:szCs w:val="31"/>
          <w:lang w:val="en-US"/>
        </w:rPr>
        <w:t>2018</w:t>
      </w:r>
      <w:r>
        <w:rPr>
          <w:rFonts w:hint="default" w:ascii="仿宋_gb2312" w:hAnsi="仿宋_gb2312" w:eastAsia="仿宋_gb2312" w:cs="仿宋_gb2312"/>
          <w:spacing w:val="0"/>
          <w:sz w:val="31"/>
          <w:szCs w:val="31"/>
        </w:rPr>
        <w:t>〕</w:t>
      </w:r>
      <w:r>
        <w:rPr>
          <w:rFonts w:hint="default" w:ascii="仿宋_gb2312" w:hAnsi="仿宋_gb2312" w:eastAsia="仿宋_gb2312" w:cs="仿宋_gb2312"/>
          <w:spacing w:val="0"/>
          <w:sz w:val="31"/>
          <w:szCs w:val="31"/>
          <w:lang w:val="en-US"/>
        </w:rPr>
        <w:t>25</w:t>
      </w:r>
      <w:r>
        <w:rPr>
          <w:rFonts w:hint="default" w:ascii="仿宋_gb2312" w:hAnsi="仿宋_gb2312" w:eastAsia="仿宋_gb2312" w:cs="仿宋_gb2312"/>
          <w:spacing w:val="0"/>
          <w:sz w:val="31"/>
          <w:szCs w:val="31"/>
        </w:rPr>
        <w:t>号）、《国务院办公厅关于改革完善中央财政科研经费管理的若干意见》（国办发〔</w:t>
      </w:r>
      <w:r>
        <w:rPr>
          <w:rFonts w:hint="default" w:ascii="仿宋_gb2312" w:hAnsi="仿宋_gb2312" w:eastAsia="仿宋_gb2312" w:cs="仿宋_gb2312"/>
          <w:spacing w:val="0"/>
          <w:sz w:val="31"/>
          <w:szCs w:val="31"/>
          <w:lang w:val="en-US"/>
        </w:rPr>
        <w:t>2021</w:t>
      </w:r>
      <w:r>
        <w:rPr>
          <w:rFonts w:hint="default" w:ascii="仿宋_gb2312" w:hAnsi="仿宋_gb2312" w:eastAsia="仿宋_gb2312" w:cs="仿宋_gb2312"/>
          <w:spacing w:val="0"/>
          <w:sz w:val="31"/>
          <w:szCs w:val="31"/>
        </w:rPr>
        <w:t>〕</w:t>
      </w:r>
      <w:r>
        <w:rPr>
          <w:rFonts w:hint="default" w:ascii="仿宋_gb2312" w:hAnsi="仿宋_gb2312" w:eastAsia="仿宋_gb2312" w:cs="仿宋_gb2312"/>
          <w:spacing w:val="0"/>
          <w:sz w:val="31"/>
          <w:szCs w:val="31"/>
          <w:lang w:val="en-US"/>
        </w:rPr>
        <w:t>32</w:t>
      </w:r>
      <w:r>
        <w:rPr>
          <w:rFonts w:hint="default" w:ascii="仿宋_gb2312" w:hAnsi="仿宋_gb2312" w:eastAsia="仿宋_gb2312" w:cs="仿宋_gb2312"/>
          <w:spacing w:val="0"/>
          <w:sz w:val="31"/>
          <w:szCs w:val="31"/>
        </w:rPr>
        <w:t>号）等要求，结合国家社科基金管理特点，制定本办法。</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第二条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国家社科基金项目资金来源于中央财政拨款，是用于资助哲学社会科学研究，促进哲学社会科学学科发展、人才培养和队伍建设的专项资金。</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第三条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国家社科基金项目资金管理，应当以多出优秀成果、培养优秀人才为目标，坚持以人为本、遵循规律、强化绩效、依法规范、公正合理和安全高效的原则。</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第四条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财政部根据国家哲学社会科学发展规划，结合国家社科基金资金需求、国家财力可能和绩效结果等，将项目资金列入中央财政预算，并负责宏观管理和监督。</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第五条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全国哲学社会科学工作办公室（以下简称全国社科工作办）依法负责项目的立项和审批，并对项目资金进行具体管理和监督检查。</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第六条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所在省区市社科工作办和在京委托管理机构配合全国社科工作办对项目资金进行具体管理和监督检查。</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第七条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项目责任单位是项目资金管理的责任主体，应当建立健全</w:t>
      </w:r>
      <w:r>
        <w:rPr>
          <w:spacing w:val="0"/>
          <w:sz w:val="31"/>
          <w:szCs w:val="31"/>
          <w:lang w:val="en-US"/>
        </w:rPr>
        <w:t>“</w:t>
      </w:r>
      <w:r>
        <w:rPr>
          <w:rFonts w:hint="default" w:ascii="仿宋_gb2312" w:hAnsi="仿宋_gb2312" w:eastAsia="仿宋_gb2312" w:cs="仿宋_gb2312"/>
          <w:spacing w:val="0"/>
          <w:sz w:val="31"/>
          <w:szCs w:val="31"/>
        </w:rPr>
        <w:t>统一领导、分级管理、责任到人</w:t>
      </w:r>
      <w:r>
        <w:rPr>
          <w:spacing w:val="0"/>
          <w:sz w:val="31"/>
          <w:szCs w:val="31"/>
          <w:lang w:val="en-US"/>
        </w:rPr>
        <w:t>”</w:t>
      </w:r>
      <w:r>
        <w:rPr>
          <w:rFonts w:hint="default" w:ascii="仿宋_gb2312" w:hAnsi="仿宋_gb2312" w:eastAsia="仿宋_gb2312" w:cs="仿宋_gb2312"/>
          <w:spacing w:val="0"/>
          <w:sz w:val="31"/>
          <w:szCs w:val="31"/>
        </w:rPr>
        <w:t>的项目资金管理体制和制度，完善内部控制、绩效管理和监督约束机制，合理确定科研、财务、人事、资产、审计、监察等部门的责任和权限，加强对项目资金的管理和监督。</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第八条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项目负责人是项目资金使用的直接责任人，对资金使用的合规性、合理性、真实性和相关性负责。</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第九条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根据预算管理方式不同，国家社科基金项目资金管理分为预算制和包干制。</w:t>
      </w:r>
    </w:p>
    <w:p>
      <w:pPr>
        <w:pStyle w:val="2"/>
        <w:keepNext w:val="0"/>
        <w:keepLines w:val="0"/>
        <w:widowControl/>
        <w:suppressLineNumbers w:val="0"/>
        <w:spacing w:line="293" w:lineRule="atLeast"/>
        <w:ind w:left="0" w:firstLine="645"/>
      </w:pPr>
    </w:p>
    <w:p>
      <w:pPr>
        <w:pStyle w:val="2"/>
        <w:keepNext w:val="0"/>
        <w:keepLines w:val="0"/>
        <w:widowControl/>
        <w:suppressLineNumbers w:val="0"/>
        <w:spacing w:line="293" w:lineRule="atLeast"/>
        <w:jc w:val="center"/>
      </w:pPr>
      <w:r>
        <w:rPr>
          <w:rFonts w:hint="eastAsia" w:ascii="黑体" w:hAnsi="宋体" w:eastAsia="黑体" w:cs="黑体"/>
          <w:color w:val="000000"/>
          <w:sz w:val="31"/>
          <w:szCs w:val="31"/>
        </w:rPr>
        <w:t>第二章</w:t>
      </w:r>
      <w:r>
        <w:rPr>
          <w:rFonts w:hint="eastAsia" w:ascii="黑体" w:hAnsi="宋体" w:eastAsia="黑体" w:cs="黑体"/>
          <w:color w:val="000000"/>
          <w:sz w:val="31"/>
          <w:szCs w:val="31"/>
          <w:lang w:val="en-US"/>
        </w:rPr>
        <w:t> </w:t>
      </w:r>
      <w:r>
        <w:rPr>
          <w:rFonts w:hint="eastAsia" w:ascii="黑体" w:hAnsi="宋体" w:eastAsia="黑体" w:cs="黑体"/>
          <w:color w:val="000000"/>
          <w:sz w:val="31"/>
          <w:szCs w:val="31"/>
        </w:rPr>
        <w:t>项目资金开支范围</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第十条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项目资金支出是指与项目研究工作相关的、由项目资金支付的各项费用支出。项目资金由直接费用和间接费用组成。</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第十一条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直接费用是指在项目实施过程中发生的与之直接相关的费用，主要包括：</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（一）业务费：指在项目实施过程中购置图书、收集资料、复印翻拍、检索文献、采集数据、翻译资料、印刷出版、会议</w:t>
      </w:r>
      <w:r>
        <w:rPr>
          <w:rFonts w:hint="default" w:ascii="仿宋_gb2312" w:hAnsi="仿宋_gb2312" w:eastAsia="仿宋_gb2312" w:cs="仿宋_gb2312"/>
          <w:spacing w:val="0"/>
          <w:sz w:val="31"/>
          <w:szCs w:val="31"/>
          <w:lang w:val="en-US"/>
        </w:rPr>
        <w:t>/</w:t>
      </w:r>
      <w:r>
        <w:rPr>
          <w:rFonts w:hint="default" w:ascii="仿宋_gb2312" w:hAnsi="仿宋_gb2312" w:eastAsia="仿宋_gb2312" w:cs="仿宋_gb2312"/>
          <w:spacing w:val="0"/>
          <w:sz w:val="31"/>
          <w:szCs w:val="31"/>
        </w:rPr>
        <w:t>差旅</w:t>
      </w:r>
      <w:r>
        <w:rPr>
          <w:rFonts w:hint="default" w:ascii="仿宋_gb2312" w:hAnsi="仿宋_gb2312" w:eastAsia="仿宋_gb2312" w:cs="仿宋_gb2312"/>
          <w:spacing w:val="0"/>
          <w:sz w:val="31"/>
          <w:szCs w:val="31"/>
          <w:lang w:val="en-US"/>
        </w:rPr>
        <w:t>/</w:t>
      </w:r>
      <w:r>
        <w:rPr>
          <w:rFonts w:hint="default" w:ascii="仿宋_gb2312" w:hAnsi="仿宋_gb2312" w:eastAsia="仿宋_gb2312" w:cs="仿宋_gb2312"/>
          <w:spacing w:val="0"/>
          <w:sz w:val="31"/>
          <w:szCs w:val="31"/>
        </w:rPr>
        <w:t>国际合作与交流等费用，以及其他相关支出。</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（二）劳务费：指在项目实施过程中支付给参与项目研究的研究生、博士后、访问学者和项目聘用的研究人员、科研辅助人员等的劳务性费用，以及支付给临时聘请的咨询专家的费用等。</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项目聘用人员的劳务费开支标准，参照当地社科研究从业人员平均工资水平，根据其在项目研究中承担的工作任务确定，其由单位缴纳的社会保险补助、住房公积金等纳入劳务费科目列支。</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支付给临时聘请的咨询专家的费用，不得支付给参与本项目及所属课题研究和管理的相关人员，其管理按照国家有关规定执行。</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（三）设备费：指在项目实施过程中购置设备和设备耗材、升级维护现有设备以及租用外单位设备而发生的费用。应当严格控制设备购置，鼓励共享、租赁设备以及对现有设备进行升级。</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第十二条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间接费用是指项目责任单位在组织实施项目过程中发生的无法在直接费用中列支的相关费用。主要包括：项目责任单位为项目研究提供的房屋占用，日常水、电、气、暖等消耗，有关管理费用的补助支出，以及激励科研人员的绩效支出等。</w:t>
      </w:r>
    </w:p>
    <w:p>
      <w:pPr>
        <w:pStyle w:val="2"/>
        <w:keepNext w:val="0"/>
        <w:keepLines w:val="0"/>
        <w:widowControl/>
        <w:suppressLineNumbers w:val="0"/>
        <w:spacing w:line="293" w:lineRule="atLeast"/>
        <w:jc w:val="center"/>
      </w:pPr>
    </w:p>
    <w:p>
      <w:pPr>
        <w:pStyle w:val="2"/>
        <w:keepNext w:val="0"/>
        <w:keepLines w:val="0"/>
        <w:widowControl/>
        <w:suppressLineNumbers w:val="0"/>
        <w:spacing w:line="293" w:lineRule="atLeast"/>
        <w:jc w:val="center"/>
      </w:pPr>
      <w:r>
        <w:rPr>
          <w:rFonts w:hint="eastAsia" w:ascii="黑体" w:hAnsi="宋体" w:eastAsia="黑体" w:cs="黑体"/>
          <w:color w:val="000000"/>
          <w:sz w:val="31"/>
          <w:szCs w:val="31"/>
        </w:rPr>
        <w:t>第三章</w:t>
      </w:r>
      <w:r>
        <w:rPr>
          <w:rFonts w:hint="eastAsia" w:ascii="黑体" w:hAnsi="宋体" w:eastAsia="黑体" w:cs="黑体"/>
          <w:color w:val="000000"/>
          <w:sz w:val="31"/>
          <w:szCs w:val="31"/>
          <w:lang w:val="en-US"/>
        </w:rPr>
        <w:t> </w:t>
      </w:r>
      <w:r>
        <w:rPr>
          <w:rFonts w:hint="eastAsia" w:ascii="黑体" w:hAnsi="宋体" w:eastAsia="黑体" w:cs="黑体"/>
          <w:color w:val="000000"/>
          <w:sz w:val="31"/>
          <w:szCs w:val="31"/>
        </w:rPr>
        <w:t>预算制项目资金管理</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第十三条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项目负责人应当按照目标相关性、政策相符性和经济合理性原则，根据项目研究需要和资金开支范围，科学合理、实事求是地编制项目预算。直接费用只提供基本测算说明，不需要提供明细。</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项目负责人应当在收到立项通知之日起</w:t>
      </w:r>
      <w:r>
        <w:rPr>
          <w:rFonts w:hint="default" w:ascii="仿宋_gb2312" w:hAnsi="仿宋_gb2312" w:eastAsia="仿宋_gb2312" w:cs="仿宋_gb2312"/>
          <w:spacing w:val="0"/>
          <w:sz w:val="31"/>
          <w:szCs w:val="31"/>
          <w:lang w:val="en-US"/>
        </w:rPr>
        <w:t>30</w:t>
      </w:r>
      <w:r>
        <w:rPr>
          <w:rFonts w:hint="default" w:ascii="仿宋_gb2312" w:hAnsi="仿宋_gb2312" w:eastAsia="仿宋_gb2312" w:cs="仿宋_gb2312"/>
          <w:spacing w:val="0"/>
          <w:sz w:val="31"/>
          <w:szCs w:val="31"/>
        </w:rPr>
        <w:t>日内完成预算编制。无特殊情况，逾期不提交的，视为自动放弃资助。</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第十四条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项目预算经项目责任单位、所在省区市社科工作办或在京委托管理机构审核并签署意见后，提交全国社科工作办审核。未通过审核的，应当按要求调整后重新上报。</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第十五条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跨单位合作的项目，确需外拨资金的，应当在项目预算中单独列示，并附外拨资金直接费用支出预算。间接费用外拨金额，由项目责任单位和合作研究单位协商确定。</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第十六条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间接费用由项目责任单位统筹安排使用。项目责任单位应当建立健全间接费用的内部管理办法，公开透明、合理合规使用间接费用，处理好分摊间接成本和对科研人员激励的关系。绩效支出安排应当与科研人员在项目工作中的实际贡献挂钩。项目责任单位可将间接费用全部用于绩效支出，并向创新绩效突出的团队和个人倾斜。项目责任单位不得在间接费用以外，再以任何名义在项目资金中重复提取、列支相关费用。</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第十七条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间接费用基础比例一般按照不超过项目资助总额的一定比例核定，具体如下：</w:t>
      </w:r>
      <w:r>
        <w:rPr>
          <w:rFonts w:hint="default" w:ascii="仿宋_gb2312" w:hAnsi="仿宋_gb2312" w:eastAsia="仿宋_gb2312" w:cs="仿宋_gb2312"/>
          <w:spacing w:val="0"/>
          <w:sz w:val="31"/>
          <w:szCs w:val="31"/>
          <w:lang w:val="en-US"/>
        </w:rPr>
        <w:t>50</w:t>
      </w:r>
      <w:r>
        <w:rPr>
          <w:rFonts w:hint="default" w:ascii="仿宋_gb2312" w:hAnsi="仿宋_gb2312" w:eastAsia="仿宋_gb2312" w:cs="仿宋_gb2312"/>
          <w:spacing w:val="0"/>
          <w:sz w:val="31"/>
          <w:szCs w:val="31"/>
        </w:rPr>
        <w:t>万元及以下部分为</w:t>
      </w:r>
      <w:r>
        <w:rPr>
          <w:rFonts w:hint="default" w:ascii="仿宋_gb2312" w:hAnsi="仿宋_gb2312" w:eastAsia="仿宋_gb2312" w:cs="仿宋_gb2312"/>
          <w:spacing w:val="0"/>
          <w:sz w:val="31"/>
          <w:szCs w:val="31"/>
          <w:lang w:val="en-US"/>
        </w:rPr>
        <w:t>40%</w:t>
      </w:r>
      <w:r>
        <w:rPr>
          <w:rFonts w:hint="default" w:ascii="仿宋_gb2312" w:hAnsi="仿宋_gb2312" w:eastAsia="仿宋_gb2312" w:cs="仿宋_gb2312"/>
          <w:spacing w:val="0"/>
          <w:sz w:val="31"/>
          <w:szCs w:val="31"/>
        </w:rPr>
        <w:t>；超过</w:t>
      </w:r>
      <w:r>
        <w:rPr>
          <w:rFonts w:hint="default" w:ascii="仿宋_gb2312" w:hAnsi="仿宋_gb2312" w:eastAsia="仿宋_gb2312" w:cs="仿宋_gb2312"/>
          <w:spacing w:val="0"/>
          <w:sz w:val="31"/>
          <w:szCs w:val="31"/>
          <w:lang w:val="en-US"/>
        </w:rPr>
        <w:t>50</w:t>
      </w:r>
      <w:r>
        <w:rPr>
          <w:rFonts w:hint="default" w:ascii="仿宋_gb2312" w:hAnsi="仿宋_gb2312" w:eastAsia="仿宋_gb2312" w:cs="仿宋_gb2312"/>
          <w:spacing w:val="0"/>
          <w:sz w:val="31"/>
          <w:szCs w:val="31"/>
        </w:rPr>
        <w:t>万元至</w:t>
      </w:r>
      <w:r>
        <w:rPr>
          <w:rFonts w:hint="default" w:ascii="仿宋_gb2312" w:hAnsi="仿宋_gb2312" w:eastAsia="仿宋_gb2312" w:cs="仿宋_gb2312"/>
          <w:spacing w:val="0"/>
          <w:sz w:val="31"/>
          <w:szCs w:val="31"/>
          <w:lang w:val="en-US"/>
        </w:rPr>
        <w:t>500</w:t>
      </w:r>
      <w:r>
        <w:rPr>
          <w:rFonts w:hint="default" w:ascii="仿宋_gb2312" w:hAnsi="仿宋_gb2312" w:eastAsia="仿宋_gb2312" w:cs="仿宋_gb2312"/>
          <w:spacing w:val="0"/>
          <w:sz w:val="31"/>
          <w:szCs w:val="31"/>
        </w:rPr>
        <w:t>万元的部分为</w:t>
      </w:r>
      <w:r>
        <w:rPr>
          <w:rFonts w:hint="default" w:ascii="仿宋_gb2312" w:hAnsi="仿宋_gb2312" w:eastAsia="仿宋_gb2312" w:cs="仿宋_gb2312"/>
          <w:spacing w:val="0"/>
          <w:sz w:val="31"/>
          <w:szCs w:val="31"/>
          <w:lang w:val="en-US"/>
        </w:rPr>
        <w:t>30%</w:t>
      </w:r>
      <w:r>
        <w:rPr>
          <w:rFonts w:hint="default" w:ascii="仿宋_gb2312" w:hAnsi="仿宋_gb2312" w:eastAsia="仿宋_gb2312" w:cs="仿宋_gb2312"/>
          <w:spacing w:val="0"/>
          <w:sz w:val="31"/>
          <w:szCs w:val="31"/>
        </w:rPr>
        <w:t>；超过</w:t>
      </w:r>
      <w:r>
        <w:rPr>
          <w:rFonts w:hint="default" w:ascii="仿宋_gb2312" w:hAnsi="仿宋_gb2312" w:eastAsia="仿宋_gb2312" w:cs="仿宋_gb2312"/>
          <w:spacing w:val="0"/>
          <w:sz w:val="31"/>
          <w:szCs w:val="31"/>
          <w:lang w:val="en-US"/>
        </w:rPr>
        <w:t>500</w:t>
      </w:r>
      <w:r>
        <w:rPr>
          <w:rFonts w:hint="default" w:ascii="仿宋_gb2312" w:hAnsi="仿宋_gb2312" w:eastAsia="仿宋_gb2312" w:cs="仿宋_gb2312"/>
          <w:spacing w:val="0"/>
          <w:sz w:val="31"/>
          <w:szCs w:val="31"/>
        </w:rPr>
        <w:t>万元的部分为</w:t>
      </w:r>
      <w:r>
        <w:rPr>
          <w:rFonts w:hint="default" w:ascii="仿宋_gb2312" w:hAnsi="仿宋_gb2312" w:eastAsia="仿宋_gb2312" w:cs="仿宋_gb2312"/>
          <w:spacing w:val="0"/>
          <w:sz w:val="31"/>
          <w:szCs w:val="31"/>
          <w:lang w:val="en-US"/>
        </w:rPr>
        <w:t>20%</w:t>
      </w:r>
      <w:r>
        <w:rPr>
          <w:rFonts w:hint="default" w:ascii="仿宋_gb2312" w:hAnsi="仿宋_gb2312" w:eastAsia="仿宋_gb2312" w:cs="仿宋_gb2312"/>
          <w:spacing w:val="0"/>
          <w:sz w:val="31"/>
          <w:szCs w:val="31"/>
        </w:rPr>
        <w:t>。</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项目成果通过审核验收后，依据结项等级调整间接费用比例，具体如下：</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（一）结项等级为</w:t>
      </w:r>
      <w:r>
        <w:rPr>
          <w:spacing w:val="0"/>
          <w:sz w:val="31"/>
          <w:szCs w:val="31"/>
          <w:lang w:val="en-US"/>
        </w:rPr>
        <w:t>“</w:t>
      </w:r>
      <w:r>
        <w:rPr>
          <w:rFonts w:hint="default" w:ascii="仿宋_gb2312" w:hAnsi="仿宋_gb2312" w:eastAsia="仿宋_gb2312" w:cs="仿宋_gb2312"/>
          <w:spacing w:val="0"/>
          <w:sz w:val="31"/>
          <w:szCs w:val="31"/>
        </w:rPr>
        <w:t>优秀</w:t>
      </w:r>
      <w:r>
        <w:rPr>
          <w:spacing w:val="0"/>
          <w:sz w:val="31"/>
          <w:szCs w:val="31"/>
          <w:lang w:val="en-US"/>
        </w:rPr>
        <w:t>”</w:t>
      </w:r>
      <w:r>
        <w:rPr>
          <w:rFonts w:hint="default" w:ascii="仿宋_gb2312" w:hAnsi="仿宋_gb2312" w:eastAsia="仿宋_gb2312" w:cs="仿宋_gb2312"/>
          <w:spacing w:val="0"/>
          <w:sz w:val="31"/>
          <w:szCs w:val="31"/>
        </w:rPr>
        <w:t>的，</w:t>
      </w:r>
      <w:r>
        <w:rPr>
          <w:rFonts w:hint="default" w:ascii="仿宋_gb2312" w:hAnsi="仿宋_gb2312" w:eastAsia="仿宋_gb2312" w:cs="仿宋_gb2312"/>
          <w:spacing w:val="0"/>
          <w:sz w:val="31"/>
          <w:szCs w:val="31"/>
          <w:lang w:val="en-US"/>
        </w:rPr>
        <w:t>50</w:t>
      </w:r>
      <w:r>
        <w:rPr>
          <w:rFonts w:hint="default" w:ascii="仿宋_gb2312" w:hAnsi="仿宋_gb2312" w:eastAsia="仿宋_gb2312" w:cs="仿宋_gb2312"/>
          <w:spacing w:val="0"/>
          <w:sz w:val="31"/>
          <w:szCs w:val="31"/>
        </w:rPr>
        <w:t>万元及以下部分可提高到不超过</w:t>
      </w:r>
      <w:r>
        <w:rPr>
          <w:rFonts w:hint="default" w:ascii="仿宋_gb2312" w:hAnsi="仿宋_gb2312" w:eastAsia="仿宋_gb2312" w:cs="仿宋_gb2312"/>
          <w:spacing w:val="0"/>
          <w:sz w:val="31"/>
          <w:szCs w:val="31"/>
          <w:lang w:val="en-US"/>
        </w:rPr>
        <w:t>60%</w:t>
      </w:r>
      <w:r>
        <w:rPr>
          <w:rFonts w:hint="default" w:ascii="仿宋_gb2312" w:hAnsi="仿宋_gb2312" w:eastAsia="仿宋_gb2312" w:cs="仿宋_gb2312"/>
          <w:spacing w:val="0"/>
          <w:sz w:val="31"/>
          <w:szCs w:val="31"/>
        </w:rPr>
        <w:t>；超过</w:t>
      </w:r>
      <w:r>
        <w:rPr>
          <w:rFonts w:hint="default" w:ascii="仿宋_gb2312" w:hAnsi="仿宋_gb2312" w:eastAsia="仿宋_gb2312" w:cs="仿宋_gb2312"/>
          <w:spacing w:val="0"/>
          <w:sz w:val="31"/>
          <w:szCs w:val="31"/>
          <w:lang w:val="en-US"/>
        </w:rPr>
        <w:t>50</w:t>
      </w:r>
      <w:r>
        <w:rPr>
          <w:rFonts w:hint="default" w:ascii="仿宋_gb2312" w:hAnsi="仿宋_gb2312" w:eastAsia="仿宋_gb2312" w:cs="仿宋_gb2312"/>
          <w:spacing w:val="0"/>
          <w:sz w:val="31"/>
          <w:szCs w:val="31"/>
        </w:rPr>
        <w:t>万元至</w:t>
      </w:r>
      <w:r>
        <w:rPr>
          <w:rFonts w:hint="default" w:ascii="仿宋_gb2312" w:hAnsi="仿宋_gb2312" w:eastAsia="仿宋_gb2312" w:cs="仿宋_gb2312"/>
          <w:spacing w:val="0"/>
          <w:sz w:val="31"/>
          <w:szCs w:val="31"/>
          <w:lang w:val="en-US"/>
        </w:rPr>
        <w:t>500</w:t>
      </w:r>
      <w:r>
        <w:rPr>
          <w:rFonts w:hint="default" w:ascii="仿宋_gb2312" w:hAnsi="仿宋_gb2312" w:eastAsia="仿宋_gb2312" w:cs="仿宋_gb2312"/>
          <w:spacing w:val="0"/>
          <w:sz w:val="31"/>
          <w:szCs w:val="31"/>
        </w:rPr>
        <w:t>万元的部分可提高到不超过</w:t>
      </w:r>
      <w:r>
        <w:rPr>
          <w:rFonts w:hint="default" w:ascii="仿宋_gb2312" w:hAnsi="仿宋_gb2312" w:eastAsia="仿宋_gb2312" w:cs="仿宋_gb2312"/>
          <w:spacing w:val="0"/>
          <w:sz w:val="31"/>
          <w:szCs w:val="31"/>
          <w:lang w:val="en-US"/>
        </w:rPr>
        <w:t>50%</w:t>
      </w:r>
      <w:r>
        <w:rPr>
          <w:rFonts w:hint="default" w:ascii="仿宋_gb2312" w:hAnsi="仿宋_gb2312" w:eastAsia="仿宋_gb2312" w:cs="仿宋_gb2312"/>
          <w:spacing w:val="0"/>
          <w:sz w:val="31"/>
          <w:szCs w:val="31"/>
        </w:rPr>
        <w:t>；超过</w:t>
      </w:r>
      <w:r>
        <w:rPr>
          <w:rFonts w:hint="default" w:ascii="仿宋_gb2312" w:hAnsi="仿宋_gb2312" w:eastAsia="仿宋_gb2312" w:cs="仿宋_gb2312"/>
          <w:spacing w:val="0"/>
          <w:sz w:val="31"/>
          <w:szCs w:val="31"/>
          <w:lang w:val="en-US"/>
        </w:rPr>
        <w:t>500</w:t>
      </w:r>
      <w:r>
        <w:rPr>
          <w:rFonts w:hint="default" w:ascii="仿宋_gb2312" w:hAnsi="仿宋_gb2312" w:eastAsia="仿宋_gb2312" w:cs="仿宋_gb2312"/>
          <w:spacing w:val="0"/>
          <w:sz w:val="31"/>
          <w:szCs w:val="31"/>
        </w:rPr>
        <w:t>万元的部分可提高到不超过</w:t>
      </w:r>
      <w:r>
        <w:rPr>
          <w:rFonts w:hint="default" w:ascii="仿宋_gb2312" w:hAnsi="仿宋_gb2312" w:eastAsia="仿宋_gb2312" w:cs="仿宋_gb2312"/>
          <w:spacing w:val="0"/>
          <w:sz w:val="31"/>
          <w:szCs w:val="31"/>
          <w:lang w:val="en-US"/>
        </w:rPr>
        <w:t>40%</w:t>
      </w:r>
      <w:r>
        <w:rPr>
          <w:rFonts w:hint="default" w:ascii="仿宋_gb2312" w:hAnsi="仿宋_gb2312" w:eastAsia="仿宋_gb2312" w:cs="仿宋_gb2312"/>
          <w:spacing w:val="0"/>
          <w:sz w:val="31"/>
          <w:szCs w:val="31"/>
        </w:rPr>
        <w:t>。</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（二）结项等级为</w:t>
      </w:r>
      <w:r>
        <w:rPr>
          <w:spacing w:val="0"/>
          <w:sz w:val="31"/>
          <w:szCs w:val="31"/>
          <w:lang w:val="en-US"/>
        </w:rPr>
        <w:t>“</w:t>
      </w:r>
      <w:r>
        <w:rPr>
          <w:rFonts w:hint="default" w:ascii="仿宋_gb2312" w:hAnsi="仿宋_gb2312" w:eastAsia="仿宋_gb2312" w:cs="仿宋_gb2312"/>
          <w:spacing w:val="0"/>
          <w:sz w:val="31"/>
          <w:szCs w:val="31"/>
        </w:rPr>
        <w:t>良好</w:t>
      </w:r>
      <w:r>
        <w:rPr>
          <w:spacing w:val="0"/>
          <w:sz w:val="31"/>
          <w:szCs w:val="31"/>
          <w:lang w:val="en-US"/>
        </w:rPr>
        <w:t>”</w:t>
      </w:r>
      <w:r>
        <w:rPr>
          <w:rFonts w:hint="default" w:ascii="仿宋_gb2312" w:hAnsi="仿宋_gb2312" w:eastAsia="仿宋_gb2312" w:cs="仿宋_gb2312"/>
          <w:spacing w:val="0"/>
          <w:sz w:val="31"/>
          <w:szCs w:val="31"/>
        </w:rPr>
        <w:t>的，</w:t>
      </w:r>
      <w:r>
        <w:rPr>
          <w:rFonts w:hint="default" w:ascii="仿宋_gb2312" w:hAnsi="仿宋_gb2312" w:eastAsia="仿宋_gb2312" w:cs="仿宋_gb2312"/>
          <w:spacing w:val="0"/>
          <w:sz w:val="31"/>
          <w:szCs w:val="31"/>
          <w:lang w:val="en-US"/>
        </w:rPr>
        <w:t>50</w:t>
      </w:r>
      <w:r>
        <w:rPr>
          <w:rFonts w:hint="default" w:ascii="仿宋_gb2312" w:hAnsi="仿宋_gb2312" w:eastAsia="仿宋_gb2312" w:cs="仿宋_gb2312"/>
          <w:spacing w:val="0"/>
          <w:sz w:val="31"/>
          <w:szCs w:val="31"/>
        </w:rPr>
        <w:t>万元及以下部分可提高到不超过</w:t>
      </w:r>
      <w:r>
        <w:rPr>
          <w:rFonts w:hint="default" w:ascii="仿宋_gb2312" w:hAnsi="仿宋_gb2312" w:eastAsia="仿宋_gb2312" w:cs="仿宋_gb2312"/>
          <w:spacing w:val="0"/>
          <w:sz w:val="31"/>
          <w:szCs w:val="31"/>
          <w:lang w:val="en-US"/>
        </w:rPr>
        <w:t>50%</w:t>
      </w:r>
      <w:r>
        <w:rPr>
          <w:rFonts w:hint="default" w:ascii="仿宋_gb2312" w:hAnsi="仿宋_gb2312" w:eastAsia="仿宋_gb2312" w:cs="仿宋_gb2312"/>
          <w:spacing w:val="0"/>
          <w:sz w:val="31"/>
          <w:szCs w:val="31"/>
        </w:rPr>
        <w:t>；超过</w:t>
      </w:r>
      <w:r>
        <w:rPr>
          <w:rFonts w:hint="default" w:ascii="仿宋_gb2312" w:hAnsi="仿宋_gb2312" w:eastAsia="仿宋_gb2312" w:cs="仿宋_gb2312"/>
          <w:spacing w:val="0"/>
          <w:sz w:val="31"/>
          <w:szCs w:val="31"/>
          <w:lang w:val="en-US"/>
        </w:rPr>
        <w:t>50</w:t>
      </w:r>
      <w:r>
        <w:rPr>
          <w:rFonts w:hint="default" w:ascii="仿宋_gb2312" w:hAnsi="仿宋_gb2312" w:eastAsia="仿宋_gb2312" w:cs="仿宋_gb2312"/>
          <w:spacing w:val="0"/>
          <w:sz w:val="31"/>
          <w:szCs w:val="31"/>
        </w:rPr>
        <w:t>万元至</w:t>
      </w:r>
      <w:r>
        <w:rPr>
          <w:rFonts w:hint="default" w:ascii="仿宋_gb2312" w:hAnsi="仿宋_gb2312" w:eastAsia="仿宋_gb2312" w:cs="仿宋_gb2312"/>
          <w:spacing w:val="0"/>
          <w:sz w:val="31"/>
          <w:szCs w:val="31"/>
          <w:lang w:val="en-US"/>
        </w:rPr>
        <w:t>500</w:t>
      </w:r>
      <w:r>
        <w:rPr>
          <w:rFonts w:hint="default" w:ascii="仿宋_gb2312" w:hAnsi="仿宋_gb2312" w:eastAsia="仿宋_gb2312" w:cs="仿宋_gb2312"/>
          <w:spacing w:val="0"/>
          <w:sz w:val="31"/>
          <w:szCs w:val="31"/>
        </w:rPr>
        <w:t>万元的部分可提高到不超过</w:t>
      </w:r>
      <w:r>
        <w:rPr>
          <w:rFonts w:hint="default" w:ascii="仿宋_gb2312" w:hAnsi="仿宋_gb2312" w:eastAsia="仿宋_gb2312" w:cs="仿宋_gb2312"/>
          <w:spacing w:val="0"/>
          <w:sz w:val="31"/>
          <w:szCs w:val="31"/>
          <w:lang w:val="en-US"/>
        </w:rPr>
        <w:t>40%</w:t>
      </w:r>
      <w:r>
        <w:rPr>
          <w:rFonts w:hint="default" w:ascii="仿宋_gb2312" w:hAnsi="仿宋_gb2312" w:eastAsia="仿宋_gb2312" w:cs="仿宋_gb2312"/>
          <w:spacing w:val="0"/>
          <w:sz w:val="31"/>
          <w:szCs w:val="31"/>
        </w:rPr>
        <w:t>；超过</w:t>
      </w:r>
      <w:r>
        <w:rPr>
          <w:rFonts w:hint="default" w:ascii="仿宋_gb2312" w:hAnsi="仿宋_gb2312" w:eastAsia="仿宋_gb2312" w:cs="仿宋_gb2312"/>
          <w:spacing w:val="0"/>
          <w:sz w:val="31"/>
          <w:szCs w:val="31"/>
          <w:lang w:val="en-US"/>
        </w:rPr>
        <w:t>500</w:t>
      </w:r>
      <w:r>
        <w:rPr>
          <w:rFonts w:hint="default" w:ascii="仿宋_gb2312" w:hAnsi="仿宋_gb2312" w:eastAsia="仿宋_gb2312" w:cs="仿宋_gb2312"/>
          <w:spacing w:val="0"/>
          <w:sz w:val="31"/>
          <w:szCs w:val="31"/>
        </w:rPr>
        <w:t>万元的部分可提高到不超过</w:t>
      </w:r>
      <w:r>
        <w:rPr>
          <w:rFonts w:hint="default" w:ascii="仿宋_gb2312" w:hAnsi="仿宋_gb2312" w:eastAsia="仿宋_gb2312" w:cs="仿宋_gb2312"/>
          <w:spacing w:val="0"/>
          <w:sz w:val="31"/>
          <w:szCs w:val="31"/>
          <w:lang w:val="en-US"/>
        </w:rPr>
        <w:t>30%</w:t>
      </w:r>
      <w:r>
        <w:rPr>
          <w:rFonts w:hint="default" w:ascii="仿宋_gb2312" w:hAnsi="仿宋_gb2312" w:eastAsia="仿宋_gb2312" w:cs="仿宋_gb2312"/>
          <w:spacing w:val="0"/>
          <w:sz w:val="31"/>
          <w:szCs w:val="31"/>
        </w:rPr>
        <w:t>。</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（三）结项等级为</w:t>
      </w:r>
      <w:r>
        <w:rPr>
          <w:spacing w:val="0"/>
          <w:sz w:val="31"/>
          <w:szCs w:val="31"/>
          <w:lang w:val="en-US"/>
        </w:rPr>
        <w:t>“</w:t>
      </w:r>
      <w:r>
        <w:rPr>
          <w:rFonts w:hint="default" w:ascii="仿宋_gb2312" w:hAnsi="仿宋_gb2312" w:eastAsia="仿宋_gb2312" w:cs="仿宋_gb2312"/>
          <w:spacing w:val="0"/>
          <w:sz w:val="31"/>
          <w:szCs w:val="31"/>
        </w:rPr>
        <w:t>合格</w:t>
      </w:r>
      <w:r>
        <w:rPr>
          <w:spacing w:val="0"/>
          <w:sz w:val="31"/>
          <w:szCs w:val="31"/>
          <w:lang w:val="en-US"/>
        </w:rPr>
        <w:t>”</w:t>
      </w:r>
      <w:r>
        <w:rPr>
          <w:rFonts w:hint="default" w:ascii="仿宋_gb2312" w:hAnsi="仿宋_gb2312" w:eastAsia="仿宋_gb2312" w:cs="仿宋_gb2312"/>
          <w:spacing w:val="0"/>
          <w:sz w:val="31"/>
          <w:szCs w:val="31"/>
        </w:rPr>
        <w:t>，或以</w:t>
      </w:r>
      <w:r>
        <w:rPr>
          <w:spacing w:val="0"/>
          <w:sz w:val="31"/>
          <w:szCs w:val="31"/>
          <w:lang w:val="en-US"/>
        </w:rPr>
        <w:t>“</w:t>
      </w:r>
      <w:r>
        <w:rPr>
          <w:rFonts w:hint="default" w:ascii="仿宋_gb2312" w:hAnsi="仿宋_gb2312" w:eastAsia="仿宋_gb2312" w:cs="仿宋_gb2312"/>
          <w:spacing w:val="0"/>
          <w:sz w:val="31"/>
          <w:szCs w:val="31"/>
        </w:rPr>
        <w:t>免于鉴定</w:t>
      </w:r>
      <w:r>
        <w:rPr>
          <w:spacing w:val="0"/>
          <w:sz w:val="31"/>
          <w:szCs w:val="31"/>
          <w:lang w:val="en-US"/>
        </w:rPr>
        <w:t>”</w:t>
      </w:r>
      <w:r>
        <w:rPr>
          <w:rFonts w:hint="default" w:ascii="仿宋_gb2312" w:hAnsi="仿宋_gb2312" w:eastAsia="仿宋_gb2312" w:cs="仿宋_gb2312"/>
          <w:spacing w:val="0"/>
          <w:sz w:val="31"/>
          <w:szCs w:val="31"/>
        </w:rPr>
        <w:t>方式结项未分等级的，间接费用比例不再提高。</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项目在研期间，可按照核定的基础比例支出间接费用。项目成果通过审核验收后，依据结项等级确定间接费用比例。</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第十八条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项目预算有以下情况确需调剂的，由项目负责人提出申请，经项目责任单位、所在省区市社科工作办或在京委托管理机构审核同意后，报全国社科工作办审批。</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（一）由于研究内容或者研究计划作出重大调整等原因，需要增加或减少项目预算总额的；</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（二）原项目预算未列示外拨资金，需要增列的。</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第十九条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项目预算有以下情况确需调剂的，由项目责任单位审批或备案。</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（一）设备费预算、外拨资金如需调剂的，由项目负责人根据科研活动的实际需要提出申请，报项目责任单位审批。</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（二）业务费、劳务费预算如需调剂的，由项目负责人根据科研活动实际需要自主安排，并报项目责任单位备案。</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三）项目在研期间，间接费用预算总额不得调增，项目责任单位与项目负责人协商一致后可调减用于直接费用。依据项目结项等级确定间接费用比例后，间接费用由项目责任单位商项目负责人，从项目经费中调剂安排。</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项目责任单位应当根据科研项目的实际需求及时办理调剂手续。</w:t>
      </w:r>
    </w:p>
    <w:p>
      <w:pPr>
        <w:pStyle w:val="2"/>
        <w:keepNext w:val="0"/>
        <w:keepLines w:val="0"/>
        <w:widowControl/>
        <w:suppressLineNumbers w:val="0"/>
        <w:spacing w:line="293" w:lineRule="atLeast"/>
        <w:ind w:left="0" w:firstLine="645"/>
      </w:pPr>
    </w:p>
    <w:p>
      <w:pPr>
        <w:pStyle w:val="2"/>
        <w:keepNext w:val="0"/>
        <w:keepLines w:val="0"/>
        <w:widowControl/>
        <w:suppressLineNumbers w:val="0"/>
        <w:spacing w:line="293" w:lineRule="atLeast"/>
        <w:jc w:val="center"/>
      </w:pPr>
      <w:r>
        <w:rPr>
          <w:rFonts w:hint="eastAsia" w:ascii="黑体" w:hAnsi="宋体" w:eastAsia="黑体" w:cs="黑体"/>
          <w:color w:val="000000"/>
          <w:sz w:val="31"/>
          <w:szCs w:val="31"/>
        </w:rPr>
        <w:t>第四章</w:t>
      </w:r>
      <w:r>
        <w:rPr>
          <w:rFonts w:hint="eastAsia" w:ascii="黑体" w:hAnsi="宋体" w:eastAsia="黑体" w:cs="黑体"/>
          <w:color w:val="000000"/>
          <w:sz w:val="31"/>
          <w:szCs w:val="31"/>
          <w:lang w:val="en-US"/>
        </w:rPr>
        <w:t> </w:t>
      </w:r>
      <w:r>
        <w:rPr>
          <w:rFonts w:hint="eastAsia" w:ascii="黑体" w:hAnsi="宋体" w:eastAsia="黑体" w:cs="黑体"/>
          <w:color w:val="000000"/>
          <w:sz w:val="31"/>
          <w:szCs w:val="31"/>
        </w:rPr>
        <w:t>包干制项目资金管理</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第二十条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包干制项目无需编制项目预算。</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第二十一条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包干制项目负责人在承诺遵守科研伦理道德和作风学风诚信要求、经费全部用于与项目研究工作相关支出的基础上，本着科学、合理、规范、有效的原则自主决定资金使用，按照本办法第十条规定的开支范围列支，无需履行调剂程序。</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对于项目责任单位为项目研究提供的房屋占用，日常水、电、气、暖等消耗，有关管理费用的补助支出，由项目责任单位根据实际管理需要，在充分征求项目负责人意见基础上合理确定。</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对于激励科研人员的绩效支出，由项目负责人根据实际科研需要和相关薪酬标准自主确定，项目责任单位按照工资制度进行管理。</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第二十二条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项目责任单位应当制定项目资金包干制管理规定。管理规定应当包括资金使用范围和标准、各方责任、违规惩戒措施等内容，报全国社科工作办备案。</w:t>
      </w:r>
    </w:p>
    <w:p>
      <w:pPr>
        <w:pStyle w:val="2"/>
        <w:keepNext w:val="0"/>
        <w:keepLines w:val="0"/>
        <w:widowControl/>
        <w:suppressLineNumbers w:val="0"/>
        <w:spacing w:line="293" w:lineRule="atLeast"/>
        <w:jc w:val="center"/>
      </w:pPr>
    </w:p>
    <w:p>
      <w:pPr>
        <w:pStyle w:val="2"/>
        <w:keepNext w:val="0"/>
        <w:keepLines w:val="0"/>
        <w:widowControl/>
        <w:suppressLineNumbers w:val="0"/>
        <w:spacing w:line="293" w:lineRule="atLeast"/>
        <w:jc w:val="center"/>
      </w:pPr>
      <w:r>
        <w:rPr>
          <w:rFonts w:hint="eastAsia" w:ascii="黑体" w:hAnsi="宋体" w:eastAsia="黑体" w:cs="黑体"/>
          <w:color w:val="000000"/>
          <w:sz w:val="31"/>
          <w:szCs w:val="31"/>
        </w:rPr>
        <w:t>第五章</w:t>
      </w:r>
      <w:r>
        <w:rPr>
          <w:rFonts w:hint="eastAsia" w:ascii="黑体" w:hAnsi="宋体" w:eastAsia="黑体" w:cs="黑体"/>
          <w:color w:val="000000"/>
          <w:sz w:val="31"/>
          <w:szCs w:val="31"/>
          <w:lang w:val="en-US"/>
        </w:rPr>
        <w:t> </w:t>
      </w:r>
      <w:r>
        <w:rPr>
          <w:rFonts w:hint="eastAsia" w:ascii="黑体" w:hAnsi="宋体" w:eastAsia="黑体" w:cs="黑体"/>
          <w:color w:val="000000"/>
          <w:sz w:val="31"/>
          <w:szCs w:val="31"/>
        </w:rPr>
        <w:t>预算执行与决算</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第二十三条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全国社科工作办应当根据不同类别项目特点、研究内容、资金需求等确定资助额度，在立项或预算回执获批后</w:t>
      </w:r>
      <w:r>
        <w:rPr>
          <w:rFonts w:hint="default" w:ascii="仿宋_gb2312" w:hAnsi="仿宋_gb2312" w:eastAsia="仿宋_gb2312" w:cs="仿宋_gb2312"/>
          <w:spacing w:val="0"/>
          <w:sz w:val="31"/>
          <w:szCs w:val="31"/>
          <w:lang w:val="en-US"/>
        </w:rPr>
        <w:t>30</w:t>
      </w:r>
      <w:r>
        <w:rPr>
          <w:rFonts w:hint="default" w:ascii="仿宋_gb2312" w:hAnsi="仿宋_gb2312" w:eastAsia="仿宋_gb2312" w:cs="仿宋_gb2312"/>
          <w:spacing w:val="0"/>
          <w:sz w:val="31"/>
          <w:szCs w:val="31"/>
        </w:rPr>
        <w:t>日内，将经费拨付至</w:t>
      </w:r>
      <w:r>
        <w:rPr>
          <w:rFonts w:hint="default" w:ascii="仿宋_gb2312" w:hAnsi="仿宋_gb2312" w:eastAsia="仿宋_gb2312" w:cs="仿宋_gb2312"/>
          <w:sz w:val="31"/>
          <w:szCs w:val="31"/>
        </w:rPr>
        <w:t>项目</w:t>
      </w:r>
      <w:r>
        <w:rPr>
          <w:rFonts w:hint="default" w:ascii="仿宋_gb2312" w:hAnsi="仿宋_gb2312" w:eastAsia="仿宋_gb2312" w:cs="仿宋_gb2312"/>
          <w:spacing w:val="0"/>
          <w:sz w:val="31"/>
          <w:szCs w:val="31"/>
        </w:rPr>
        <w:t>责任单位，切实保障科研活动需要。项目资金的支付按照国库集中支付制度有关规定执行。</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有外拨资金的，项目责任单位应当及时将资金按资助项目预算拨至合作研究单位，并加强对外拨资金的监督管理。</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项目负责人应当结合科研活动需要，科学合理安排项目资金支出进度。项目责任单位应当关注项目资金执行进度，有效提高资金使用效益。</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第二十四条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国家社科基金项目资金实行预留资金制度。预留资金在项目成果通过审核验收后支付。未通过审核验收的项目，预留资金不予支付。</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第二十五条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项目资金应当纳入项目责任单位财务统一管理，单独核算，专款专用。</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第二十六条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项目责任单位应当严格执行国家有关支出管理制度。对应当实行“公务卡”结算的支出，按照中央财政科研项目使用“公务卡”结算的有关规定执行。劳务费支出原则上应当通过银行转账方式结算。</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项目资金属于政府采购范围的，应当按照政府采购有关规定执行。</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第二十七条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项目实施过程中，项目责任单位因科研活动实际需要，邀请国内外专家学者和有关人员参加由其主办的会议等，对确需负担的城市间交通费、国际旅费，可在会议费等费用中报销。对国内差旅费中的伙食补助费、市内交通费和难以取得发票的住宿费可实行包干制。对野外考察、数据采集等科研活动中无法取得发票或财政票据的支出，在确保真实性的前提下，可按实际发生额予以报销。</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第二十八条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项目实施过程中，使用项目资金形成的固定资产、无形资产等属于国有资产，应当按照国家有关国有资产管理的规定执行。</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第二十九条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项目责任单位要切实强化法人责任，制定内部管理办法，落实项目预算调剂、间接费用统筹使用、劳务费管理、结余资金使用等管理权限。</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第三十条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项目责任单位应当创新服务方式，让科研人员潜心从事科学研究。应当全面落实科研财务助理制度，确保每个项目配有相对固定的科研财务助理，为科研人员在预算编制、经费报销等方面提供专业化服务。科研财务助理所需人力成本费用（含社会保险补助、住房公积金），可由项目责任单位根据情况通过科研项目经费等渠道统筹解决。应当改进财务报销管理方式，充分利用信息化手段，建立符合科研实际需要的内部报销机制。</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第三十一条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项目研究完成后，项目责任单位和项目负责人应当如实编制《国家社会科学基金项目结项审批书》中的项目决算表。</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有外拨资金的项目，外拨资金决算经合作研究单位财务、审计部门审核并签署意见后，由项目负责人汇总编制项目资金决算。</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第三十二条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项目研究成果首次鉴定的费用由全国社科工作办另行支付。首次鉴定未通过需组织第二次鉴定的，鉴定费用从项目预留资金中扣除。</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第三十三条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项目在研期间，年度剩余资金可以结转下一年度继续使用。项目通过审核验收后，结余资金由项目责任单位统筹安排用于项目最终成果出版及后续研究的直接支出，优先考虑原项目团队科研需求。项目责任单位应当加强结余资金管理，健全结余资金盘活机制，加快资金使用进度。</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第三十四条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对于因故被终止执行或被撤销的项目，全国社科工作办视情节轻重分别作出退回结余资金、退回结余资金和绩效支出、退回已拨资金处理。项目责任单位应当在接到通知后</w:t>
      </w:r>
      <w:r>
        <w:rPr>
          <w:rFonts w:hint="default" w:ascii="仿宋_gb2312" w:hAnsi="仿宋_gb2312" w:eastAsia="仿宋_gb2312" w:cs="仿宋_gb2312"/>
          <w:spacing w:val="0"/>
          <w:sz w:val="31"/>
          <w:szCs w:val="31"/>
          <w:lang w:val="en-US"/>
        </w:rPr>
        <w:t>30</w:t>
      </w:r>
      <w:r>
        <w:rPr>
          <w:rFonts w:hint="default" w:ascii="仿宋_gb2312" w:hAnsi="仿宋_gb2312" w:eastAsia="仿宋_gb2312" w:cs="仿宋_gb2312"/>
          <w:spacing w:val="0"/>
          <w:sz w:val="31"/>
          <w:szCs w:val="31"/>
        </w:rPr>
        <w:t>日内按原渠道退回全国社科工作办。所退资金由全国社科工作办按照财政预算管理的有关规定，统筹用于资助项目研究。</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项目责任单位发生变更的项目，原项目责任单位应当及时向新项目责任单位转拨需转拨的项目资金。</w:t>
      </w:r>
    </w:p>
    <w:p>
      <w:pPr>
        <w:pStyle w:val="2"/>
        <w:keepNext w:val="0"/>
        <w:keepLines w:val="0"/>
        <w:widowControl/>
        <w:suppressLineNumbers w:val="0"/>
        <w:spacing w:line="293" w:lineRule="atLeast"/>
        <w:ind w:left="0" w:firstLine="645"/>
      </w:pPr>
    </w:p>
    <w:p>
      <w:pPr>
        <w:pStyle w:val="2"/>
        <w:keepNext w:val="0"/>
        <w:keepLines w:val="0"/>
        <w:widowControl/>
        <w:suppressLineNumbers w:val="0"/>
        <w:spacing w:line="293" w:lineRule="atLeast"/>
        <w:jc w:val="center"/>
      </w:pPr>
      <w:r>
        <w:rPr>
          <w:rFonts w:hint="eastAsia" w:ascii="黑体" w:hAnsi="宋体" w:eastAsia="黑体" w:cs="黑体"/>
          <w:color w:val="000000"/>
          <w:sz w:val="31"/>
          <w:szCs w:val="31"/>
        </w:rPr>
        <w:t>第六章  绩效管理与监督检查</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第三十五条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全国社科工作办应当建立项目资金绩效管理制度，对项目资金管理使用效益进行绩效评价。进一步强化绩效导向，加强分类绩效评价，健全绩效评价指标体系，强化绩效评价结果运用，将绩效评价结果作为项目调整、后续支持的重要参考。</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项目责任单位应当切实加强绩效管理，引导科研资源向优秀人才和团队倾斜，提高科研经费使用效益。</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第三十六条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项目责任单位和项目负责人应当依法依规管理使用项目资金，不得存在以下行为：</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（一）虚假编报项目预算；</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（二）未对项目资金进行单独核算；</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（三）列支与项目任务无关的支出；</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（四）未按规定执行和调剂预算、违反规定转拨项目资金；</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（五）通过虚假合同、虚假票据、虚构事项、虚报人员等弄虚作假，转移、套取、报销项目资金；</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（六）截留、挤占、挪用项目资金；</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（七）设置账外账、随意调账变动支出、随意修改记账凭证、提供虚假财务会计资料等；</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（八）在使用项目资金中以任何方式列支应由个人负担的有关费用和支付各种罚款、捐款、赞助、投资、偿还债务等；</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（九）其他违反国家财经纪律的行为。</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项目负责人使用项目资金情况应当自觉接受有关部门的监督检查。</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第三十七条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财政部、全国社科工作办、审计署、各省区市社科工作办和在京委托管理机构、项目责任单位应当根据职责和分工，建立覆盖资金管理使用全过程的资金监督机制。加强审计监督、财会监督与日常监督的贯通协调，增强监督合力，加强信息共享，避免交叉重复。</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第三十八条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财政部按规定对国家社科基金项目资金管理和使用情况进行监督管理，并根据工作需要开展绩效评价。</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第三十九条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审计署、全国社科工作办按规定对项目责任单位项目资金管理和使用情况进行监督检查。项目责任单位和项目负责人应当积极配合并提供有关资料。</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第四十条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各省区市社科工作办和在京委托管理机构应当督促项目责任单位加强内控制度和监督制约机制建设、落实项目资金管理责任，配合财政部、全国社科工作办开展监督检查和督促整改工作。</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第四十一条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项目责任单位应当按照本办法和国家相关财经法规及财务管理规定，完善内部控制和监督制约机制，动态监管资金使用并实时预警提醒，确保资金合理规范使用；加强支撑服务条件建设，提高对科研人员的服务水平，建立常态化的自查自纠机制，保证项目资金安全。</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第四十二条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项目资金管理建立承诺机制。项目责任单位应当承诺依法履行项目资金管理的职责。项目负责人应当承诺提供真实的项目信息，并认真遵守项目资金管理的有关规定。项目责任单位和项目负责人对违反承诺导致的后果承担相应责任。</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对项目责任单位和科研人员在项目资金管理使用过程中出现的失信情况，应当纳入信用记录管理，对严重失信行为实行追责和惩戒。</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第四十三条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项目资金管理建立信息公开机制。项目责任单位应当在单位内部公开项目预算、预算调剂、决算、项目组人员构成、设备购置、外拨资金、劳务费发放以及间接费用和结余资金使用等情况，自觉接受监督。</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第四十四条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财政部、全国社科工作办及其相关工作人员在项目资金分配使用、审核管理等相关工作中，存在违反规定安排资金或其他滥用职权、玩忽职守、徇私舞弊等违法违规行为的，依法责令改正，对负有责任的领导人员和直接责任人员依法给予处分；涉嫌犯罪的，依法移送有关机关处理。</w:t>
      </w:r>
    </w:p>
    <w:p>
      <w:pPr>
        <w:pStyle w:val="2"/>
        <w:keepNext w:val="0"/>
        <w:keepLines w:val="0"/>
        <w:widowControl/>
        <w:suppressLineNumbers w:val="0"/>
        <w:spacing w:line="293" w:lineRule="atLeast"/>
        <w:ind w:left="0" w:firstLine="645"/>
      </w:pPr>
      <w:r>
        <w:rPr>
          <w:rFonts w:hint="default" w:ascii="仿宋_gb2312" w:hAnsi="仿宋_gb2312" w:eastAsia="仿宋_gb2312" w:cs="仿宋_gb2312"/>
          <w:spacing w:val="0"/>
          <w:sz w:val="31"/>
          <w:szCs w:val="31"/>
        </w:rPr>
        <w:t>项目责任单位及其相关工作人员、项目负责人及其团队成员在资金管理使用过程中，不按规定管理使用项目资金、不按时编报项目决算、不按规定进行会计核算，存在截留、挪用、侵占项目资金等违法违规行为的，按照《中华人民共和国预算法》及其实施条例、《中华人民共和国会计法》、《财政违法行为处罚处分条例》等国家有关规定追究相应责任。涉嫌犯罪的，依法移送有关机关处理。</w:t>
      </w:r>
    </w:p>
    <w:p>
      <w:pPr>
        <w:pStyle w:val="2"/>
        <w:keepNext w:val="0"/>
        <w:keepLines w:val="0"/>
        <w:widowControl/>
        <w:suppressLineNumbers w:val="0"/>
        <w:spacing w:line="293" w:lineRule="atLeast"/>
        <w:ind w:left="0" w:firstLine="645"/>
      </w:pPr>
    </w:p>
    <w:p>
      <w:pPr>
        <w:pStyle w:val="2"/>
        <w:keepNext w:val="0"/>
        <w:keepLines w:val="0"/>
        <w:widowControl/>
        <w:suppressLineNumbers w:val="0"/>
        <w:spacing w:line="293" w:lineRule="atLeast"/>
        <w:jc w:val="center"/>
      </w:pPr>
      <w:r>
        <w:rPr>
          <w:rFonts w:hint="eastAsia" w:ascii="黑体" w:hAnsi="宋体" w:eastAsia="黑体" w:cs="黑体"/>
          <w:color w:val="000000"/>
          <w:sz w:val="31"/>
          <w:szCs w:val="31"/>
        </w:rPr>
        <w:t>第七章  附  则</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第四十五条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本办法适用于国家社科基金各项目类型，以及教育学、艺术学、军事学三个单列学科。</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第四十六条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本办法由财政部、全国哲学社会科学工作领导小组负责解释。</w:t>
      </w:r>
    </w:p>
    <w:p>
      <w:pPr>
        <w:pStyle w:val="2"/>
        <w:keepNext w:val="0"/>
        <w:keepLines w:val="0"/>
        <w:widowControl/>
        <w:suppressLineNumbers w:val="0"/>
        <w:spacing w:line="293" w:lineRule="atLeast"/>
        <w:ind w:left="0" w:firstLine="645"/>
      </w:pPr>
      <w:r>
        <w:rPr>
          <w:rFonts w:hint="eastAsia" w:ascii="黑体" w:hAnsi="宋体" w:eastAsia="黑体" w:cs="黑体"/>
          <w:spacing w:val="0"/>
          <w:sz w:val="31"/>
          <w:szCs w:val="31"/>
        </w:rPr>
        <w:t>第四十七条</w:t>
      </w:r>
      <w:r>
        <w:rPr>
          <w:rFonts w:hint="eastAsia" w:ascii="黑体" w:hAnsi="宋体" w:eastAsia="黑体" w:cs="黑体"/>
          <w:spacing w:val="0"/>
          <w:sz w:val="31"/>
          <w:szCs w:val="31"/>
          <w:lang w:val="en-US"/>
        </w:rPr>
        <w:t> </w:t>
      </w:r>
      <w:r>
        <w:rPr>
          <w:rFonts w:hint="default" w:ascii="仿宋_gb2312" w:hAnsi="仿宋_gb2312" w:eastAsia="仿宋_gb2312" w:cs="仿宋_gb2312"/>
          <w:spacing w:val="0"/>
          <w:sz w:val="31"/>
          <w:szCs w:val="31"/>
        </w:rPr>
        <w:t>本办法自发布之日起施行，</w:t>
      </w:r>
      <w:r>
        <w:rPr>
          <w:rFonts w:hint="default" w:ascii="仿宋_gb2312" w:hAnsi="仿宋_gb2312" w:eastAsia="仿宋_gb2312" w:cs="仿宋_gb2312"/>
          <w:sz w:val="31"/>
          <w:szCs w:val="31"/>
        </w:rPr>
        <w:t>《财政部 全国哲学社会科学规划领导小组关于印发</w:t>
      </w:r>
      <w:r>
        <w:rPr>
          <w:rFonts w:hint="default" w:ascii="仿宋_gb2312" w:hAnsi="仿宋_gb2312" w:eastAsia="仿宋_gb2312" w:cs="仿宋_gb2312"/>
          <w:sz w:val="31"/>
          <w:szCs w:val="31"/>
          <w:lang w:val="en-US"/>
        </w:rPr>
        <w:t>&lt;</w:t>
      </w:r>
      <w:r>
        <w:rPr>
          <w:rFonts w:hint="default" w:ascii="仿宋_gb2312" w:hAnsi="仿宋_gb2312" w:eastAsia="仿宋_gb2312" w:cs="仿宋_gb2312"/>
          <w:sz w:val="31"/>
          <w:szCs w:val="31"/>
        </w:rPr>
        <w:t>国家社会科学基金项目资金管理办法</w:t>
      </w:r>
      <w:r>
        <w:rPr>
          <w:rFonts w:hint="default" w:ascii="仿宋_gb2312" w:hAnsi="仿宋_gb2312" w:eastAsia="仿宋_gb2312" w:cs="仿宋_gb2312"/>
          <w:sz w:val="31"/>
          <w:szCs w:val="31"/>
          <w:lang w:val="en-US"/>
        </w:rPr>
        <w:t>&gt;</w:t>
      </w:r>
      <w:r>
        <w:rPr>
          <w:rFonts w:hint="default" w:ascii="仿宋_gb2312" w:hAnsi="仿宋_gb2312" w:eastAsia="仿宋_gb2312" w:cs="仿宋_gb2312"/>
          <w:sz w:val="31"/>
          <w:szCs w:val="31"/>
        </w:rPr>
        <w:t>的通知》（财教〔</w:t>
      </w:r>
      <w:r>
        <w:rPr>
          <w:rFonts w:hint="default" w:ascii="仿宋_gb2312" w:hAnsi="仿宋_gb2312" w:eastAsia="仿宋_gb2312" w:cs="仿宋_gb2312"/>
          <w:sz w:val="31"/>
          <w:szCs w:val="31"/>
          <w:lang w:val="en-US"/>
        </w:rPr>
        <w:t>2016</w:t>
      </w:r>
      <w:r>
        <w:rPr>
          <w:rFonts w:hint="default" w:ascii="仿宋_gb2312" w:hAnsi="仿宋_gb2312" w:eastAsia="仿宋_gb2312" w:cs="仿宋_gb2312"/>
          <w:sz w:val="31"/>
          <w:szCs w:val="31"/>
        </w:rPr>
        <w:t>〕</w:t>
      </w:r>
      <w:r>
        <w:rPr>
          <w:rFonts w:hint="default" w:ascii="仿宋_gb2312" w:hAnsi="仿宋_gb2312" w:eastAsia="仿宋_gb2312" w:cs="仿宋_gb2312"/>
          <w:sz w:val="31"/>
          <w:szCs w:val="31"/>
          <w:lang w:val="en-US"/>
        </w:rPr>
        <w:t>304</w:t>
      </w:r>
      <w:r>
        <w:rPr>
          <w:rFonts w:hint="default" w:ascii="仿宋_gb2312" w:hAnsi="仿宋_gb2312" w:eastAsia="仿宋_gb2312" w:cs="仿宋_gb2312"/>
          <w:sz w:val="31"/>
          <w:szCs w:val="31"/>
        </w:rPr>
        <w:t>号</w:t>
      </w:r>
      <w:r>
        <w:rPr>
          <w:rFonts w:hint="default" w:ascii="仿宋_gb2312" w:hAnsi="仿宋_gb2312" w:eastAsia="仿宋_gb2312" w:cs="仿宋_gb2312"/>
          <w:sz w:val="31"/>
          <w:szCs w:val="31"/>
          <w:lang w:val="en-US"/>
        </w:rPr>
        <w:t>)</w:t>
      </w:r>
      <w:r>
        <w:rPr>
          <w:rFonts w:hint="default" w:ascii="仿宋_gb2312" w:hAnsi="仿宋_gb2312" w:eastAsia="仿宋_gb2312" w:cs="仿宋_gb2312"/>
          <w:sz w:val="31"/>
          <w:szCs w:val="31"/>
        </w:rPr>
        <w:t>同时废止。</w:t>
      </w:r>
    </w:p>
    <w:p>
      <w:pPr>
        <w:pStyle w:val="2"/>
        <w:keepNext w:val="0"/>
        <w:keepLines w:val="0"/>
        <w:widowControl/>
        <w:suppressLineNumbers w:val="0"/>
      </w:pPr>
    </w:p>
    <w:p>
      <w:pPr>
        <w:rPr>
          <w:rFonts w:hint="eastAsia" w:eastAsiaTheme="minorEastAsia"/>
          <w:lang w:eastAsia="zh-CN"/>
        </w:rPr>
      </w:pPr>
      <w: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lang w:eastAsia="zh-CN"/>
        </w:rPr>
        <w:instrText xml:space="preserve">ADDIN CNKISM.UserStyle</w:instrText>
      </w:r>
      <w:r>
        <w:fldChar w:fldCharType="separate"/>
      </w:r>
      <w: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805BA4"/>
    <w:rsid w:val="0D3B5141"/>
    <w:rsid w:val="10DA0F2C"/>
    <w:rsid w:val="20995E47"/>
    <w:rsid w:val="327C71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2021-04-14T03:08:00Z</dcterms:created>
  <dc:creator>acer</dc:creator>
  <cp:lastModifiedBy>acer</cp:lastModifiedBy>
  <dcterms:modified xsi:type="dcterms:W3CDTF">2022-02-28T07:05:57Z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60E579ACA06146BF81A711A984A38677</vt:lpwstr>
  </property>
</Properties>
</file>