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6D599">
      <w:pPr>
        <w:widowControl/>
        <w:jc w:val="center"/>
        <w:rPr>
          <w:rFonts w:ascii="Trebuchet MS" w:hAnsi="Trebuchet MS" w:eastAsia="宋体" w:cs="宋体"/>
          <w:color w:val="000000"/>
          <w:kern w:val="0"/>
          <w:sz w:val="36"/>
          <w:szCs w:val="36"/>
        </w:rPr>
      </w:pPr>
      <w:bookmarkStart w:id="0" w:name="_GoBack"/>
      <w:bookmarkEnd w:id="0"/>
      <w:r>
        <w:rPr>
          <w:rFonts w:ascii="Trebuchet MS" w:hAnsi="Trebuchet MS" w:eastAsia="宋体" w:cs="宋体"/>
          <w:color w:val="000000"/>
          <w:kern w:val="0"/>
          <w:sz w:val="36"/>
          <w:szCs w:val="36"/>
        </w:rPr>
        <w:t>高等学校哲学社会科学繁荣计划专项资金管理办法</w:t>
      </w:r>
    </w:p>
    <w:p w14:paraId="4B61EC36">
      <w:pPr>
        <w:widowControl/>
        <w:jc w:val="center"/>
        <w:rPr>
          <w:rFonts w:ascii="Trebuchet MS" w:hAnsi="Trebuchet MS" w:eastAsia="宋体" w:cs="宋体"/>
          <w:color w:val="000000"/>
          <w:kern w:val="0"/>
          <w:sz w:val="27"/>
          <w:szCs w:val="27"/>
        </w:rPr>
      </w:pPr>
    </w:p>
    <w:p w14:paraId="6AE22BAE">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第一章  总  则</w:t>
      </w:r>
    </w:p>
    <w:p w14:paraId="661D533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第一条 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14:paraId="4C94BF9D">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第二条 繁荣计划专项资金由中央财政安排，是用于支持高校思政课建设和哲学社会科学研究、学科发展、人才培养、队伍建设的专项资金。</w:t>
      </w:r>
    </w:p>
    <w:p w14:paraId="3236BFC6">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第三条 繁荣计划专项资金管理，以促进高校哲学社会科学高质量发展为目标，以推动高校加快构建中国特色哲学社会科学学科体系、学术体系、话语体系为重点，坚持以人为本、遵循规律、突出绩效、规范安全的原则。</w:t>
      </w:r>
    </w:p>
    <w:p w14:paraId="297032D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第四条 财政部根据国家教育事业发展规划，结合高校哲学社会科学资金需求、国家财力可能和绩效结果，将繁荣计划专项资金列入中央财政预算，核定支出规划和年度预算，对资金使用和管理情况进行监督指导。</w:t>
      </w:r>
    </w:p>
    <w:p w14:paraId="5DF2D13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第五条 教育部负责编制繁荣计划专项资金年度预算、具体组织实施和管理监督工作，健全绩效考评机制。</w:t>
      </w:r>
    </w:p>
    <w:p w14:paraId="2E8D99A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第六条 项目承担高校是繁荣计划专项资金管理的责任主体，建立健全专项资金管理制度，完善内部控制、绩效管理和监督约束机制，合理确定科研、财务、人事、资产、审计、监察等部门的责任和权限。</w:t>
      </w:r>
    </w:p>
    <w:p w14:paraId="1B1B560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第七条 项目负责人是繁荣计划专项资金使用的直接责任人，对资金使用的合法合规性、合理性、真实性和相关性负责。</w:t>
      </w:r>
    </w:p>
    <w:p w14:paraId="62849F9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第八条 繁荣计划专项资金分为研究项目资金、非研究项目资金和管理资金。</w:t>
      </w:r>
    </w:p>
    <w:p w14:paraId="02054E8F">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第二章  研究项目资金</w:t>
      </w:r>
    </w:p>
    <w:p w14:paraId="17D786F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第九条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14:paraId="73783A12">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本办法所称的研究项目，包括教育部哲学社会科学研究项目，以及专项资金支持的研究基地、实验室、平台、智库等设立的研究项目。</w:t>
      </w:r>
    </w:p>
    <w:p w14:paraId="365C1BF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第十条 直接费用是指在项目研究过程中发生的与之直接相关的费用，包括：</w:t>
      </w:r>
    </w:p>
    <w:p w14:paraId="5F0C521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（一）业务费：指在项目研究过程中购置图书、收集资料、复印翻拍、检索文献、采集数据、翻译资料、印刷出版、会议、差旅、国际合作与交流等费用，以及其他相关支出。</w:t>
      </w:r>
    </w:p>
    <w:p w14:paraId="32D54AF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（二）劳务费：指在项目实施过程中支付给参与研究的研究生、博士后、访问学者、聘用的研究人员、科研辅助人员等的劳务性费用，以及支付给临时聘请的咨询专家的费用等。</w:t>
      </w:r>
    </w:p>
    <w:p w14:paraId="7252CE5E">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聘用人员的劳务费开支标准，参照当地社科研究从业人员平均工资水平，根据其在研究中承担的工作任务确定，其由单位缴纳的社会保险补助、住房公积金等纳入劳务费科目列支。</w:t>
      </w:r>
    </w:p>
    <w:p w14:paraId="2FF9ED2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支付给临时聘请的咨询专家的费用，不得支付给参与本项目及所属课题研究和管理的相关人员，其管理按照国家有关规定执行。</w:t>
      </w:r>
    </w:p>
    <w:p w14:paraId="30F7D2B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（三）设备费：指在项目研究过程中购置设备和设备耗材、升级维护现有设备及租用外单位设备而发生的费用。应当合理购置设备，鼓励共享、租赁及对现有设备进行升级改造。</w:t>
      </w:r>
    </w:p>
    <w:p w14:paraId="4D9E78B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第十一条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3CB3800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第十二条 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14:paraId="5ED2CCB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跨单位合作的科研活动，确需外拨资金的，应当在预算中单独列示，并对合作研究单位资质、承担的研究任务、外拨资金额度等进行说明。间接费用外拨金额，由项目承担高校和合作研究单位协商确定。</w:t>
      </w:r>
    </w:p>
    <w:p w14:paraId="36A2BD4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第十三条 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14:paraId="62D7CF52">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第十四条 间接费用按照不超过项目资助总额的一定比例核定，具体如下：50万元及以下部分为40%；超过50万元至500万元的部分为30%；超过500万元的部分为20%。</w:t>
      </w:r>
    </w:p>
    <w:p w14:paraId="7A5174D6">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对纯理论基础研究项目，间接费用比例50万元及以下部分可提高到不超过60%；超过50万元至500万元的部分可提高到不超过50%；超过500万元的部分可提高到不超过40%，具体范围由教育部商财政部确定。</w:t>
      </w:r>
    </w:p>
    <w:p w14:paraId="2606FAD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第十五条 教育部根据繁荣计划建设目标和建设内容，组织专家重点对预算申请的目标相关性、政策相符性、经济合理性进行评审。</w:t>
      </w:r>
    </w:p>
    <w:p w14:paraId="4DB20BD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第十六条 项目负责人应当严格执行批准后的预算。预算有以下情况确需调剂的，由项目承担高校审批或备案。</w:t>
      </w:r>
    </w:p>
    <w:p w14:paraId="5417FF5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（一）原预算未列示外拨资金，需要增列的；外拨资金如需调剂的，由项目负责人根据科研活动的实际需要提出申请，报项目承担高校审批。</w:t>
      </w:r>
    </w:p>
    <w:p w14:paraId="4A5E9D7C">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（二）设备费预算如需调剂的，由项目负责人根据科研活动的实际需要提出申请，报项目承担高校审批。</w:t>
      </w:r>
    </w:p>
    <w:p w14:paraId="19739EE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（三）业务费、劳务费预算如需调剂的，由项目负责人根据科研活动实际需要自主安排，并报项目承担高校备案。</w:t>
      </w:r>
    </w:p>
    <w:p w14:paraId="7C8A513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（四）间接费用预算总额不得调增，项目负责人与项目承担高校协商一致后可调减用于直接费用。</w:t>
      </w:r>
    </w:p>
    <w:p w14:paraId="62AF2AE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项目承担高校应当根据科研活动的实际需求及时办理调剂手续。</w:t>
      </w:r>
    </w:p>
    <w:p w14:paraId="7D8DA4F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第十七条 包干制项目实施范围由教育部商财政部确定。</w:t>
      </w:r>
    </w:p>
    <w:p w14:paraId="7E654782">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第十八条 项目承担高校应当制定项目资金包干制管理规定。管理规定应当包括资金使用范围和标准、各方责任、违规惩戒措施等内容，报教育部备案。</w:t>
      </w:r>
    </w:p>
    <w:p w14:paraId="0EF6013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第十九条 包干制项目负责人应在承诺遵守科研伦理道德和学风诚信要求、经费全部用于与项目研究工作相关支出的基础上，本着科学、合理、规范、有效的原则使用资金，无需编制预算。</w:t>
      </w:r>
    </w:p>
    <w:p w14:paraId="3291334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第二十条 包干制项目资金由项目负责人自主决定使用，对于本办法第十条、第十一条规定的开支范围内的资金由项目负责人自主决定使用，无需履行调剂程序。</w:t>
      </w:r>
    </w:p>
    <w:p w14:paraId="38ECAFF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对于项目承担高校为研究提供的房屋占用，日常水、电、气、暖等消耗及开展有关管理工作的补助支出，由项目承担高校根据实际管理需要，在充分征求项目负责人意见基础上确定合理标准。</w:t>
      </w:r>
    </w:p>
    <w:p w14:paraId="27A4091E">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对于激励科研人员的绩效支出，由项目负责人根据实际科研需要和相关薪酬标准自主确定，项目承担高校按照工资制度进行管理。</w:t>
      </w:r>
    </w:p>
    <w:p w14:paraId="6C161D05">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第三章  非研究项目资金</w:t>
      </w:r>
    </w:p>
    <w:p w14:paraId="20F9D32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第二十一条 非研究项目资金支出是指支持研究基地、实验室、平台、智库、团队等建设费用。</w:t>
      </w:r>
    </w:p>
    <w:p w14:paraId="72DA33D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非研究项目资金按照“稳定支持、长效机制，遵循规律、引导带动，绩效导向、动态调整”的原则进行资助和管理，具体开支范围如下：</w:t>
      </w:r>
    </w:p>
    <w:p w14:paraId="37C01B2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（一）人员聘用经费：是指支付给聘用的编制以外、不开支财政补助人员经费的专职研究人员、管理人员和国外访问学者的费用。</w:t>
      </w:r>
    </w:p>
    <w:p w14:paraId="2E20631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（二）能力建设经费：是指用于改善科研条件，推进全方位能力建设的经费，主要包括开展的国内学术交流、国情调研、信息采集、成果转化、联合研究等费用。</w:t>
      </w:r>
    </w:p>
    <w:p w14:paraId="6E1A14B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14:paraId="74DA614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（四）奖励经费：是指根据研究人员实际贡献安排的奖励性费用，安排奖励性费用应加大对优秀人才和成果的奖励力度。</w:t>
      </w:r>
    </w:p>
    <w:p w14:paraId="623127F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开支奖励经费的情况包括：</w:t>
      </w:r>
    </w:p>
    <w:p w14:paraId="7A7C9C6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1.坚持服务国家目标与鼓励自由探索相结合，在思想理论上有重大创新、传承文明上有突出贡献、学科建设上有显著推动；</w:t>
      </w:r>
    </w:p>
    <w:p w14:paraId="7EA9F1AD">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2.围绕国家重大战略，在解决经济社会发展重大问题上有重要贡献，为党和政府提供决策服务上有重要建树；</w:t>
      </w:r>
    </w:p>
    <w:p w14:paraId="494798D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3.阐释中国立场、发出中国声音，产生较大国际影响；</w:t>
      </w:r>
    </w:p>
    <w:p w14:paraId="4AC120FE">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4.在方法创新上有重大突破；</w:t>
      </w:r>
    </w:p>
    <w:p w14:paraId="6221865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5.教育部认定在其他方面作出突出贡献的。</w:t>
      </w:r>
    </w:p>
    <w:p w14:paraId="72D6743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14:paraId="0C5AA4CD">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第二十二条 对于非研究项目资金中国家已规定开支标准的科目，应当严格按照国家有关规定执行；对于国家未规定开支标准的科目，各类非研究项目应当建立健全经费开支标准和管理制度。</w:t>
      </w:r>
    </w:p>
    <w:p w14:paraId="7A8F6632">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第二十三条 非研究项目资金不得用于本办法第二十一条开支范围外的行政事业单位人员经费和公用经费。</w:t>
      </w:r>
    </w:p>
    <w:p w14:paraId="7568A7B8">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第四章  管理资金</w:t>
      </w:r>
    </w:p>
    <w:p w14:paraId="158063C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第二十四条 管理资金支出是指教育部在实施繁荣计划过程中发生的工作所需费用，包括组织、协调、评审、鉴定和奖励费用等。</w:t>
      </w:r>
    </w:p>
    <w:p w14:paraId="4FC119F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第二十五条 按规定对“教育部科学研究优秀成果奖（人文社会科学）”、有价值高水平的咨政成果进行奖励。</w:t>
      </w:r>
    </w:p>
    <w:p w14:paraId="634C788C">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第二十六条 管理资金在实施过程中，按照“管、办、评”分离原则，推进政府购买服务，规范向社会力量购买服务的程序和方式。</w:t>
      </w:r>
    </w:p>
    <w:p w14:paraId="4F460A27">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第五章  预算执行与决算</w:t>
      </w:r>
    </w:p>
    <w:p w14:paraId="3BDB0CE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第二十七条 教育部根据部门预算编制要求，将繁荣计划专项资金三年支出规划和年度预算建议数报送财政部，财政部按部门预算程序审核后批复年度预算。</w:t>
      </w:r>
    </w:p>
    <w:p w14:paraId="4F80D70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第二十八条 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14:paraId="3891CE1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第二十九条 项目承担高校应当将资金纳入单位财务部门统一管理，单独核算，专款专用。</w:t>
      </w:r>
    </w:p>
    <w:p w14:paraId="67030799">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项目承担高校要根据项目负责人意见，及时将外拨资金拨付至项目合作单位，并加强对外拨资金的监督管理。</w:t>
      </w:r>
    </w:p>
    <w:p w14:paraId="21F066B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项目负责人应当结合科研活动需要，科学合理安排资金支出进度。项目承担高校应当关注资金执行进度，有效提高资金使用效益。</w:t>
      </w:r>
    </w:p>
    <w:p w14:paraId="5318D15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第三十条 繁荣计划专项资金按照国库集中支付制度规定拨付。</w:t>
      </w:r>
    </w:p>
    <w:p w14:paraId="5AB3B9F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第三十一条 繁荣计划专项资金不得用于租赁办公场所和基础设施建设，不得用于开支各种罚款、捐赠、赞助、投资、偿还债务等，不得用于与项目工作无关的支出，严禁以任何方式牟取私利。</w:t>
      </w:r>
    </w:p>
    <w:p w14:paraId="05FEBAA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第三十二条 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14:paraId="23D00BF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专项资金支出属于政府采购范围的，应当按照政府采购有关规定执行。对科研急需的设备和耗材采取特事特办、随到随办的采购机制。</w:t>
      </w:r>
    </w:p>
    <w:p w14:paraId="003E500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第三十三条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14:paraId="7FB795D9">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第三十四条 凡使用繁荣计划专项资金形成的固定资产、无形资产等属于国有资产，应当按照国有资产管理的有关规定执行。</w:t>
      </w:r>
    </w:p>
    <w:p w14:paraId="01F20E8E">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第三十五条 项目承担高校要切实强化法人责任，严格按照国家有关规定和本办法规定，指导项目负责人科学合理编制预算，规范预算调剂程序，加强对外拨资金、间接费用、结转结余资金等的审核和管理。</w:t>
      </w:r>
    </w:p>
    <w:p w14:paraId="1AD18558">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第三十六条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14:paraId="248D4EE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第三十七条 项目承担高校应当改进财务报销管理方式，充分利用信息化手段，推动项目经费数字化、无纸化报销，建立符合科研实际需要的内部报销机制。</w:t>
      </w:r>
    </w:p>
    <w:p w14:paraId="00862BC6">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第三十八条 项目承担高校应将繁荣计划专项资金收支情况纳入单位年度决算统一编报。</w:t>
      </w:r>
    </w:p>
    <w:p w14:paraId="79C68CF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第三十九条 完成研究后，项目负责人应当按照学校财务规定清理账目与资产，据实编报决算，并附财务部门审核确认的资金收支明细账，与结项验收材料一并报送教育部。</w:t>
      </w:r>
    </w:p>
    <w:p w14:paraId="56446FD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有外拨资金的项目，外拨资金决算经合作研究单位财务、审计部门审核并签署意见后，由项目负责人汇总编制项目资金决算。</w:t>
      </w:r>
    </w:p>
    <w:p w14:paraId="34C05DAC">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第四十条 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14:paraId="65C26FA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对于非研究项目资金和管理资金，按照财政部关于结转结余资金管理有关规定执行。</w:t>
      </w:r>
    </w:p>
    <w:p w14:paraId="0D2BFB7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第四十一条 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14:paraId="2CAD260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项目承担高校发生变更的，原承担高校应当及时向新承担高校转拨项目资金。</w:t>
      </w:r>
    </w:p>
    <w:p w14:paraId="28AE7AA4">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第六章  绩效管理与监督检查</w:t>
      </w:r>
    </w:p>
    <w:p w14:paraId="61FAB05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第四十二条 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14:paraId="13F35829">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项目承担高校要切实加强绩效管理，引导科研资源向优秀人才和团队倾斜，提高科研经费使用效益。</w:t>
      </w:r>
    </w:p>
    <w:p w14:paraId="2C946C8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第四十三条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14:paraId="1427667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第四十四条 项目承担高校应当建立信息公开机制，在学校内部主动公开预算、预算调剂、决算、设备购置、外拨资金、劳务费发放、间接费用、结余资金使用等情况，自觉接受监督。</w:t>
      </w:r>
    </w:p>
    <w:p w14:paraId="0101BB03">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第四十五条 项目承担高校要动态监管经费使用并实时预警提醒。对项目承担高校和科研人员在科研经费管理使用过程中出现的失信情况，纳入信用记录管理，对严重失信行为实行追责和惩戒。</w:t>
      </w:r>
    </w:p>
    <w:p w14:paraId="7E8BA4B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第四十六条 项目承担高校和项目负责人应当依法依规管理使用专项资金，不得存在以下行为：</w:t>
      </w:r>
    </w:p>
    <w:p w14:paraId="609780E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（一） 虚假编报项目预算；</w:t>
      </w:r>
    </w:p>
    <w:p w14:paraId="0EBA738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（二） 未对繁荣计划专项资金进行单独核算；</w:t>
      </w:r>
    </w:p>
    <w:p w14:paraId="40FB865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（三） 列支与项目任务无关的支出；</w:t>
      </w:r>
    </w:p>
    <w:p w14:paraId="3484313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（四） 违反规定转拨项目资金；</w:t>
      </w:r>
    </w:p>
    <w:p w14:paraId="456E235A">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（五） 通过虚假合同、虚假票据、虚构事项、虚报人员等弄虚作假方式，转移、套取、报销项目资金；</w:t>
      </w:r>
    </w:p>
    <w:p w14:paraId="4251F3AB">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（六） 截留、挤占、挪用项目资金；</w:t>
      </w:r>
    </w:p>
    <w:p w14:paraId="7A83FE51">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（七） 设置账外账、随意调账变动支出、随意修改记账凭证、提供虚假财务会计资料等；</w:t>
      </w:r>
    </w:p>
    <w:p w14:paraId="5AD3E1A5">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（八） 在使用项目资金中以任何方式列支应由个人负担的有关费用和利用项目资金支付各种罚款、捐款、赞助、投资、偿还债务等；</w:t>
      </w:r>
    </w:p>
    <w:p w14:paraId="120A2964">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（九） 其他违反国家财经纪律的行为。</w:t>
      </w:r>
    </w:p>
    <w:p w14:paraId="3E547A8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第四十七条 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279F9BA0">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79C85855">
      <w:pPr>
        <w:widowControl/>
        <w:spacing w:line="420" w:lineRule="atLeast"/>
        <w:jc w:val="center"/>
        <w:rPr>
          <w:rFonts w:ascii="Trebuchet MS" w:hAnsi="Trebuchet MS" w:eastAsia="宋体" w:cs="宋体"/>
          <w:color w:val="333333"/>
          <w:kern w:val="0"/>
          <w:sz w:val="24"/>
          <w:szCs w:val="24"/>
        </w:rPr>
      </w:pPr>
      <w:r>
        <w:rPr>
          <w:rFonts w:ascii="Trebuchet MS" w:hAnsi="Trebuchet MS" w:eastAsia="宋体" w:cs="宋体"/>
          <w:b/>
          <w:bCs/>
          <w:color w:val="333333"/>
          <w:kern w:val="0"/>
          <w:sz w:val="24"/>
          <w:szCs w:val="24"/>
        </w:rPr>
        <w:t>第七章  附  则</w:t>
      </w:r>
    </w:p>
    <w:p w14:paraId="4F88EF6C">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第四十八条 本办法由财政部、教育部负责解释。</w:t>
      </w:r>
    </w:p>
    <w:p w14:paraId="56F966B7">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第四十九条 本办法自颁布之日起施行。2016年11月24日财政部、教育部印发的《高等学校哲学社会科学繁荣计划专项资金管理办法》（财教〔2016〕317号）同时废止。</w:t>
      </w:r>
    </w:p>
    <w:p w14:paraId="7FD7F71F">
      <w:pPr>
        <w:widowControl/>
        <w:spacing w:line="420" w:lineRule="atLeast"/>
        <w:jc w:val="left"/>
        <w:rPr>
          <w:rFonts w:ascii="Trebuchet MS" w:hAnsi="Trebuchet MS" w:eastAsia="宋体" w:cs="宋体"/>
          <w:color w:val="333333"/>
          <w:kern w:val="0"/>
          <w:sz w:val="24"/>
          <w:szCs w:val="24"/>
        </w:rPr>
      </w:pPr>
      <w:r>
        <w:rPr>
          <w:rFonts w:ascii="Trebuchet MS" w:hAnsi="Trebuchet MS" w:eastAsia="宋体" w:cs="宋体"/>
          <w:color w:val="333333"/>
          <w:kern w:val="0"/>
          <w:sz w:val="24"/>
          <w:szCs w:val="24"/>
        </w:rPr>
        <w:t>　　第五十条 各项目承担高校要依据本办法修订完善内部相关管理办法。</w:t>
      </w:r>
    </w:p>
    <w:p w14:paraId="7D2DBB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8F"/>
    <w:rsid w:val="0019490A"/>
    <w:rsid w:val="007F1537"/>
    <w:rsid w:val="00885804"/>
    <w:rsid w:val="00F62C8F"/>
    <w:rsid w:val="6BEA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6455</Words>
  <Characters>6508</Characters>
  <Lines>48</Lines>
  <Paragraphs>13</Paragraphs>
  <TotalTime>1</TotalTime>
  <ScaleCrop>false</ScaleCrop>
  <LinksUpToDate>false</LinksUpToDate>
  <CharactersWithSpaces>6774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2022-01-28T10:25:00Z</dcterms:created>
  <dc:creator>qq</dc:creator>
  <cp:lastModifiedBy>英子</cp:lastModifiedBy>
  <dcterms:modified xsi:type="dcterms:W3CDTF">2026-06-14T12:15:29Z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B78AAB3C09A6451D8D929C8C9CC5DC6A_13</vt:lpwstr>
  </property>
</Properties>
</file>