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eastAsia" w:ascii="华文中宋" w:hAnsi="华文中宋" w:eastAsia="华文中宋" w:cs="华文中宋"/>
          <w:b/>
          <w:bCs/>
          <w:sz w:val="44"/>
          <w:szCs w:val="44"/>
          <w:lang w:eastAsia="zh-CN"/>
        </w:rPr>
      </w:pPr>
      <w:r>
        <w:rPr>
          <w:rFonts w:hint="eastAsia" w:ascii="华文中宋" w:hAnsi="华文中宋" w:eastAsia="华文中宋" w:cs="华文中宋"/>
          <w:b/>
          <w:bCs/>
          <w:sz w:val="44"/>
          <w:szCs w:val="44"/>
          <w:lang w:eastAsia="zh-CN"/>
        </w:rPr>
        <w:drawing>
          <wp:anchor distT="0" distB="0" distL="114300" distR="114300" simplePos="0" relativeHeight="251659264" behindDoc="0" locked="0" layoutInCell="1" allowOverlap="1">
            <wp:simplePos x="0" y="0"/>
            <wp:positionH relativeFrom="column">
              <wp:posOffset>-1123950</wp:posOffset>
            </wp:positionH>
            <wp:positionV relativeFrom="paragraph">
              <wp:posOffset>-914400</wp:posOffset>
            </wp:positionV>
            <wp:extent cx="7606665" cy="10694670"/>
            <wp:effectExtent l="0" t="0" r="13335" b="11430"/>
            <wp:wrapSquare wrapText="bothSides"/>
            <wp:docPr id="20" name="图片 20" descr="QQ截图2017122509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71225094811"/>
                    <pic:cNvPicPr>
                      <a:picLocks noChangeAspect="1"/>
                    </pic:cNvPicPr>
                  </pic:nvPicPr>
                  <pic:blipFill>
                    <a:blip r:embed="rId8"/>
                    <a:stretch>
                      <a:fillRect/>
                    </a:stretch>
                  </pic:blipFill>
                  <pic:spPr>
                    <a:xfrm>
                      <a:off x="0" y="0"/>
                      <a:ext cx="7606665" cy="10694670"/>
                    </a:xfrm>
                    <a:prstGeom prst="rect">
                      <a:avLst/>
                    </a:prstGeom>
                  </pic:spPr>
                </pic:pic>
              </a:graphicData>
            </a:graphic>
          </wp:anchor>
        </w:drawing>
      </w:r>
    </w:p>
    <w:p>
      <w:pPr>
        <w:adjustRightInd w:val="0"/>
        <w:snapToGrid w:val="0"/>
        <w:spacing w:line="360" w:lineRule="auto"/>
        <w:jc w:val="center"/>
        <w:rPr>
          <w:rFonts w:asciiTheme="minorEastAsia" w:hAnsiTheme="minorEastAsia" w:cstheme="minorEastAsia"/>
          <w:sz w:val="28"/>
          <w:szCs w:val="28"/>
        </w:rPr>
        <w:sectPr>
          <w:headerReference r:id="rId3" w:type="default"/>
          <w:pgSz w:w="11906" w:h="16838"/>
          <w:pgMar w:top="1440" w:right="1800" w:bottom="1440" w:left="1800" w:header="851" w:footer="992" w:gutter="0"/>
          <w:pgNumType w:start="0"/>
          <w:cols w:space="425" w:num="1"/>
          <w:docGrid w:type="lines" w:linePitch="312" w:charSpace="0"/>
        </w:sectPr>
      </w:pPr>
    </w:p>
    <w:p>
      <w:pPr>
        <w:adjustRightInd w:val="0"/>
        <w:snapToGrid w:val="0"/>
        <w:spacing w:line="360" w:lineRule="auto"/>
        <w:jc w:val="center"/>
        <w:rPr>
          <w:rFonts w:asciiTheme="minorEastAsia" w:hAnsiTheme="minorEastAsia" w:cstheme="minorEastAsia"/>
          <w:sz w:val="28"/>
          <w:szCs w:val="28"/>
        </w:rPr>
      </w:pPr>
    </w:p>
    <w:p>
      <w:pPr>
        <w:widowControl/>
        <w:adjustRightInd w:val="0"/>
        <w:snapToGrid w:val="0"/>
        <w:spacing w:after="156" w:line="360" w:lineRule="auto"/>
        <w:ind w:firstLine="720" w:firstLineChars="200"/>
        <w:jc w:val="left"/>
        <w:rPr>
          <w:rFonts w:ascii="方正小标宋简体" w:hAnsi="Times New Roman" w:eastAsia="方正小标宋简体" w:cs="宋体"/>
          <w:kern w:val="0"/>
          <w:sz w:val="36"/>
          <w:szCs w:val="36"/>
        </w:rPr>
      </w:pPr>
    </w:p>
    <w:p>
      <w:pPr>
        <w:adjustRightInd w:val="0"/>
        <w:snapToGrid w:val="0"/>
        <w:spacing w:beforeLines="100" w:afterLines="100" w:line="360" w:lineRule="auto"/>
        <w:jc w:val="center"/>
        <w:outlineLvl w:val="0"/>
        <w:rPr>
          <w:rFonts w:ascii="方正小标宋简体" w:hAnsi="Times New Roman" w:eastAsia="方正小标宋简体" w:cs="宋体"/>
          <w:kern w:val="0"/>
          <w:sz w:val="36"/>
          <w:szCs w:val="36"/>
        </w:rPr>
      </w:pPr>
      <w:bookmarkStart w:id="0" w:name="_Toc2418"/>
      <w:r>
        <w:rPr>
          <w:rFonts w:hint="eastAsia" w:ascii="方正小标宋简体" w:hAnsi="Times New Roman" w:eastAsia="方正小标宋简体" w:cs="宋体"/>
          <w:kern w:val="0"/>
          <w:sz w:val="36"/>
          <w:szCs w:val="36"/>
        </w:rPr>
        <w:t>内容</w:t>
      </w:r>
      <w:r>
        <w:rPr>
          <w:rFonts w:ascii="方正小标宋简体" w:hAnsi="Times New Roman" w:eastAsia="方正小标宋简体" w:cs="宋体"/>
          <w:kern w:val="0"/>
          <w:sz w:val="36"/>
          <w:szCs w:val="36"/>
        </w:rPr>
        <w:t>真实性</w:t>
      </w:r>
      <w:r>
        <w:rPr>
          <w:rFonts w:hint="eastAsia" w:ascii="方正小标宋简体" w:hAnsi="Times New Roman" w:eastAsia="方正小标宋简体" w:cs="宋体"/>
          <w:kern w:val="0"/>
          <w:sz w:val="36"/>
          <w:szCs w:val="36"/>
        </w:rPr>
        <w:t>责任声明</w:t>
      </w:r>
      <w:bookmarkEnd w:id="0"/>
    </w:p>
    <w:p>
      <w:pPr>
        <w:widowControl/>
        <w:adjustRightInd w:val="0"/>
        <w:snapToGrid w:val="0"/>
        <w:spacing w:line="360" w:lineRule="auto"/>
        <w:ind w:firstLine="640" w:firstLineChars="200"/>
        <w:jc w:val="left"/>
        <w:rPr>
          <w:rFonts w:ascii="仿宋_GB2312" w:eastAsia="仿宋_GB2312"/>
          <w:sz w:val="32"/>
          <w:szCs w:val="32"/>
        </w:rPr>
      </w:pPr>
      <w:r>
        <w:rPr>
          <w:rFonts w:hint="eastAsia" w:ascii="仿宋_GB2312" w:eastAsia="仿宋_GB2312"/>
          <w:sz w:val="32"/>
          <w:szCs w:val="32"/>
        </w:rPr>
        <w:t>学院对湖南化工职业技术学院高等职业教育质</w:t>
      </w:r>
      <w:r>
        <w:rPr>
          <w:rFonts w:ascii="仿宋_GB2312" w:eastAsia="仿宋_GB2312"/>
          <w:sz w:val="32"/>
          <w:szCs w:val="32"/>
        </w:rPr>
        <w:t>量年</w:t>
      </w:r>
      <w:r>
        <w:rPr>
          <w:rFonts w:hint="eastAsia" w:ascii="仿宋_GB2312" w:eastAsia="仿宋_GB2312"/>
          <w:sz w:val="32"/>
          <w:szCs w:val="32"/>
        </w:rPr>
        <w:t>度</w:t>
      </w:r>
      <w:r>
        <w:rPr>
          <w:rFonts w:ascii="仿宋_GB2312" w:eastAsia="仿宋_GB2312"/>
          <w:sz w:val="32"/>
          <w:szCs w:val="32"/>
        </w:rPr>
        <w:t>报告</w:t>
      </w:r>
      <w:r>
        <w:rPr>
          <w:rFonts w:hint="eastAsia" w:ascii="仿宋_GB2312" w:eastAsia="仿宋_GB2312"/>
          <w:sz w:val="32"/>
          <w:szCs w:val="32"/>
        </w:rPr>
        <w:t>（2018）及相</w:t>
      </w:r>
      <w:r>
        <w:rPr>
          <w:rFonts w:ascii="仿宋_GB2312" w:eastAsia="仿宋_GB2312"/>
          <w:sz w:val="32"/>
          <w:szCs w:val="32"/>
        </w:rPr>
        <w:t>关附件的真实性、完整性和准确性负责。</w:t>
      </w:r>
    </w:p>
    <w:p>
      <w:pPr>
        <w:widowControl/>
        <w:adjustRightInd w:val="0"/>
        <w:snapToGrid w:val="0"/>
        <w:spacing w:line="360" w:lineRule="auto"/>
        <w:ind w:firstLine="640" w:firstLineChars="200"/>
        <w:jc w:val="left"/>
        <w:rPr>
          <w:rFonts w:ascii="仿宋_GB2312" w:eastAsia="仿宋_GB2312"/>
          <w:sz w:val="32"/>
          <w:szCs w:val="32"/>
        </w:rPr>
      </w:pPr>
    </w:p>
    <w:p>
      <w:pPr>
        <w:widowControl/>
        <w:adjustRightInd w:val="0"/>
        <w:snapToGrid w:val="0"/>
        <w:spacing w:line="360" w:lineRule="auto"/>
        <w:ind w:firstLine="640" w:firstLineChars="200"/>
        <w:jc w:val="left"/>
        <w:rPr>
          <w:rFonts w:ascii="仿宋_GB2312" w:eastAsia="仿宋_GB2312"/>
          <w:sz w:val="32"/>
          <w:szCs w:val="32"/>
        </w:rPr>
      </w:pPr>
      <w:r>
        <w:rPr>
          <w:rFonts w:hint="eastAsia" w:ascii="仿宋_GB2312" w:eastAsia="仿宋_GB2312"/>
          <w:sz w:val="32"/>
          <w:szCs w:val="32"/>
        </w:rPr>
        <w:t>特</w:t>
      </w:r>
      <w:r>
        <w:rPr>
          <w:rFonts w:ascii="仿宋_GB2312" w:eastAsia="仿宋_GB2312"/>
          <w:sz w:val="32"/>
          <w:szCs w:val="32"/>
        </w:rPr>
        <w:t>此声明</w:t>
      </w:r>
    </w:p>
    <w:p>
      <w:pPr>
        <w:widowControl/>
        <w:adjustRightInd w:val="0"/>
        <w:snapToGrid w:val="0"/>
        <w:spacing w:line="360" w:lineRule="auto"/>
        <w:ind w:firstLine="600" w:firstLineChars="200"/>
        <w:jc w:val="left"/>
        <w:rPr>
          <w:rFonts w:ascii="仿宋_GB2312" w:eastAsia="仿宋_GB2312"/>
          <w:sz w:val="30"/>
          <w:szCs w:val="30"/>
        </w:rPr>
      </w:pPr>
    </w:p>
    <w:p>
      <w:pPr>
        <w:widowControl/>
        <w:adjustRightInd w:val="0"/>
        <w:snapToGrid w:val="0"/>
        <w:spacing w:line="360" w:lineRule="auto"/>
        <w:ind w:firstLine="600" w:firstLineChars="200"/>
        <w:jc w:val="left"/>
        <w:rPr>
          <w:rFonts w:ascii="仿宋_GB2312" w:eastAsia="仿宋_GB2312"/>
          <w:sz w:val="30"/>
          <w:szCs w:val="30"/>
        </w:rPr>
      </w:pPr>
    </w:p>
    <w:p>
      <w:pPr>
        <w:adjustRightInd w:val="0"/>
        <w:snapToGrid w:val="0"/>
        <w:spacing w:line="360" w:lineRule="auto"/>
        <w:jc w:val="center"/>
        <w:rPr>
          <w:rFonts w:asciiTheme="minorEastAsia" w:hAnsiTheme="minorEastAsia" w:cstheme="minorEastAsia"/>
          <w:b/>
          <w:bCs/>
          <w:sz w:val="28"/>
          <w:szCs w:val="28"/>
        </w:rPr>
      </w:pPr>
      <w:r>
        <w:rPr>
          <w:rFonts w:hint="eastAsia" w:asciiTheme="minorEastAsia" w:hAnsiTheme="minorEastAsia" w:cstheme="minorEastAsia"/>
          <w:b/>
          <w:bCs/>
          <w:sz w:val="28"/>
          <w:szCs w:val="28"/>
          <w:lang w:val="en-US" w:eastAsia="zh-CN"/>
        </w:rPr>
        <w:t xml:space="preserve">    </w:t>
      </w:r>
      <w:r>
        <w:rPr>
          <w:rFonts w:hint="eastAsia" w:asciiTheme="minorEastAsia" w:hAnsiTheme="minorEastAsia" w:cstheme="minorEastAsia"/>
          <w:b/>
          <w:bCs/>
          <w:sz w:val="28"/>
          <w:szCs w:val="28"/>
        </w:rPr>
        <w:drawing>
          <wp:inline distT="0" distB="0" distL="114300" distR="114300">
            <wp:extent cx="4625975" cy="3517265"/>
            <wp:effectExtent l="0" t="0" r="3175" b="6985"/>
            <wp:docPr id="30" name="图片 30" descr="QQ截图2017122309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171223094724"/>
                    <pic:cNvPicPr>
                      <a:picLocks noChangeAspect="1"/>
                    </pic:cNvPicPr>
                  </pic:nvPicPr>
                  <pic:blipFill>
                    <a:blip r:embed="rId9">
                      <a:lum contrast="12000"/>
                    </a:blip>
                    <a:stretch>
                      <a:fillRect/>
                    </a:stretch>
                  </pic:blipFill>
                  <pic:spPr>
                    <a:xfrm>
                      <a:off x="0" y="0"/>
                      <a:ext cx="4625975" cy="3517265"/>
                    </a:xfrm>
                    <a:prstGeom prst="rect">
                      <a:avLst/>
                    </a:prstGeom>
                  </pic:spPr>
                </pic:pic>
              </a:graphicData>
            </a:graphic>
          </wp:inline>
        </w:drawing>
      </w:r>
      <w:r>
        <w:rPr>
          <w:rFonts w:hint="eastAsia" w:asciiTheme="minorEastAsia" w:hAnsiTheme="minorEastAsia" w:cstheme="minorEastAsia"/>
          <w:b/>
          <w:bCs/>
          <w:sz w:val="28"/>
          <w:szCs w:val="28"/>
        </w:rPr>
        <w:br w:type="page"/>
      </w:r>
    </w:p>
    <w:p>
      <w:pPr>
        <w:adjustRightInd w:val="0"/>
        <w:snapToGrid w:val="0"/>
        <w:spacing w:line="360" w:lineRule="auto"/>
        <w:jc w:val="center"/>
        <w:rPr>
          <w:rFonts w:asciiTheme="minorEastAsia" w:hAnsiTheme="minorEastAsia" w:cstheme="minorEastAsia"/>
          <w:b/>
          <w:bCs/>
          <w:sz w:val="28"/>
          <w:szCs w:val="28"/>
        </w:rPr>
      </w:pPr>
    </w:p>
    <w:p>
      <w:pPr>
        <w:pStyle w:val="2"/>
        <w:jc w:val="center"/>
        <w:rPr>
          <w:rFonts w:hint="default" w:ascii="华文中宋" w:hAnsi="华文中宋" w:eastAsia="华文中宋" w:cs="华文中宋"/>
        </w:rPr>
      </w:pPr>
      <w:bookmarkStart w:id="1" w:name="_Toc12464"/>
      <w:r>
        <w:rPr>
          <w:rFonts w:ascii="华文中宋" w:hAnsi="华文中宋" w:eastAsia="华文中宋" w:cs="华文中宋"/>
        </w:rPr>
        <w:t>序  言</w:t>
      </w:r>
      <w:bookmarkEnd w:id="1"/>
    </w:p>
    <w:p>
      <w:pPr>
        <w:adjustRightInd w:val="0"/>
        <w:snapToGrid w:val="0"/>
        <w:spacing w:line="360" w:lineRule="auto"/>
        <w:jc w:val="center"/>
        <w:rPr>
          <w:rFonts w:asciiTheme="minorEastAsia" w:hAnsiTheme="minorEastAsia" w:cstheme="minorEastAsia"/>
          <w:sz w:val="28"/>
          <w:szCs w:val="28"/>
        </w:rPr>
      </w:pPr>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化工产业是国民经济支柱产业，行业快速发展需要大量的技术技能人才作支撑。工信部调查数据分析显示，2016－2020年，高素质技术技能人才需求增长108万人，年均需求21.6万人，而今后全国化工类职业院校毕业生每年只有10万人。化工产业作为湖南第二大千亿产业，肩负着我省新材料、医药、新能源等10余个产业的可持续发展重任。目前，我省共有规模以上化工企业1800余家，形成了石油化工、精细化工、盐卤化工和基础化工四大化工产业集群。据我院对2013年以来省内化工企业招聘数据分析，化工类专业毕业生供需比都在1:6以上。其中，化工工艺、化学与生物制药等部分紧缺岗位毕业生供需比达到1:9以上。同时，据省经信委预测，2015－2020年湖南化工行业需要技术创新型、化工安全复合型、化工与信息化复合型等高素质技术技能人才逾6万人，而目前，全省高职院校化工类专业人才培养规模仅占需求的40%，人才缺口巨大。</w:t>
      </w:r>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近年来，全省职业教育按照对接产业的发展思路，实现了从规模扩张向内涵提升转型发展，初步构建了具有湖南特色的现代职业教育体系，职业教育在保障机制、基础能力、产教融合、人才培养质量等方面都取得了积极成效。化工职业教育是湖南现代职业教育的重要组成部分，学院始终根植化工产业办学，以人才培养为核心，以深化改革为动力，以建卓越、创优质、争一流为目标，加快推动内涵发展、特色发展，取得了显著办学成效。学院应用化工技术专业群、信息化教学改革全省示范，就业创业教育、综合治理水平全省领先，是省级卓越高职院校，湖南省优秀示范性(骨干)高职院校。是中国化工教育协会副会长单位、教育部石油和化工职业教育教学指导委员会副主任单位。教育部化工行指委数据分析显示，学院在全国化工类职业院校中综合实力排名第二。</w:t>
      </w:r>
    </w:p>
    <w:p>
      <w:pPr>
        <w:adjustRightInd w:val="0"/>
        <w:snapToGrid w:val="0"/>
        <w:spacing w:line="360" w:lineRule="auto"/>
        <w:ind w:firstLine="480" w:firstLineChars="200"/>
        <w:rPr>
          <w:rFonts w:asciiTheme="minorEastAsia" w:hAnsiTheme="minorEastAsia" w:cstheme="minorEastAsia"/>
          <w:sz w:val="24"/>
        </w:rPr>
      </w:pPr>
    </w:p>
    <w:p>
      <w:pPr>
        <w:adjustRightInd w:val="0"/>
        <w:snapToGrid w:val="0"/>
        <w:spacing w:line="360" w:lineRule="auto"/>
        <w:jc w:val="center"/>
        <w:rPr>
          <w:rFonts w:asciiTheme="minorEastAsia" w:hAnsiTheme="minorEastAsia" w:cstheme="minorEastAsia"/>
          <w:b/>
          <w:bCs/>
          <w:sz w:val="28"/>
          <w:szCs w:val="28"/>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adjustRightInd w:val="0"/>
        <w:snapToGrid w:val="0"/>
        <w:spacing w:line="360" w:lineRule="auto"/>
        <w:jc w:val="center"/>
        <w:rPr>
          <w:rFonts w:hint="eastAsia" w:ascii="华文中宋" w:hAnsi="华文中宋" w:eastAsia="华文中宋" w:cs="华文中宋"/>
          <w:b/>
          <w:bCs/>
          <w:sz w:val="21"/>
          <w:szCs w:val="21"/>
        </w:rPr>
      </w:pPr>
    </w:p>
    <w:p>
      <w:pPr>
        <w:adjustRightInd w:val="0"/>
        <w:snapToGrid w:val="0"/>
        <w:spacing w:line="360" w:lineRule="auto"/>
        <w:jc w:val="center"/>
        <w:rPr>
          <w:rFonts w:ascii="华文中宋" w:hAnsi="华文中宋" w:eastAsia="华文中宋" w:cs="华文中宋"/>
          <w:b/>
          <w:bCs/>
          <w:sz w:val="36"/>
          <w:szCs w:val="36"/>
        </w:rPr>
      </w:pPr>
      <w:r>
        <w:rPr>
          <w:rFonts w:hint="eastAsia" w:ascii="华文中宋" w:hAnsi="华文中宋" w:eastAsia="华文中宋" w:cs="华文中宋"/>
          <w:b/>
          <w:bCs/>
          <w:sz w:val="36"/>
          <w:szCs w:val="36"/>
        </w:rPr>
        <w:t>目  录</w:t>
      </w:r>
    </w:p>
    <w:p>
      <w:pPr>
        <w:pStyle w:val="11"/>
        <w:tabs>
          <w:tab w:val="right" w:leader="dot" w:pos="8306"/>
        </w:tabs>
        <w:adjustRightInd w:val="0"/>
        <w:snapToGrid w:val="0"/>
        <w:spacing w:line="288" w:lineRule="auto"/>
        <w:rPr>
          <w:rFonts w:ascii="楷体_GB2312" w:hAnsi="楷体_GB2312" w:eastAsia="楷体_GB2312" w:cs="楷体_GB2312"/>
          <w:sz w:val="24"/>
        </w:rPr>
      </w:pPr>
      <w:r>
        <w:rPr>
          <w:rFonts w:hint="eastAsia" w:ascii="楷体_GB2312" w:hAnsi="楷体_GB2312" w:eastAsia="楷体_GB2312" w:cs="楷体_GB2312"/>
          <w:b/>
          <w:bCs/>
          <w:sz w:val="24"/>
        </w:rPr>
        <w:fldChar w:fldCharType="begin"/>
      </w:r>
      <w:r>
        <w:rPr>
          <w:rFonts w:hint="eastAsia" w:ascii="楷体_GB2312" w:hAnsi="楷体_GB2312" w:eastAsia="楷体_GB2312" w:cs="楷体_GB2312"/>
          <w:b/>
          <w:bCs/>
          <w:sz w:val="24"/>
        </w:rPr>
        <w:instrText xml:space="preserve">TOC \o "1-3" \h \u </w:instrText>
      </w:r>
      <w:r>
        <w:rPr>
          <w:rFonts w:hint="eastAsia" w:ascii="楷体_GB2312" w:hAnsi="楷体_GB2312" w:eastAsia="楷体_GB2312" w:cs="楷体_GB2312"/>
          <w:b/>
          <w:bCs/>
          <w:sz w:val="24"/>
        </w:rPr>
        <w:fldChar w:fldCharType="separate"/>
      </w:r>
      <w:r>
        <w:fldChar w:fldCharType="begin"/>
      </w:r>
      <w:r>
        <w:instrText xml:space="preserve"> HYPERLINK \l "_Toc2418" </w:instrText>
      </w:r>
      <w:r>
        <w:fldChar w:fldCharType="separate"/>
      </w:r>
      <w:r>
        <w:rPr>
          <w:rFonts w:hint="eastAsia" w:ascii="楷体_GB2312" w:hAnsi="楷体_GB2312" w:eastAsia="楷体_GB2312" w:cs="楷体_GB2312"/>
          <w:kern w:val="0"/>
          <w:sz w:val="24"/>
        </w:rPr>
        <w:t>内容真实性责任声明</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_Toc2418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i</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1"/>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"_Toc12464" </w:instrText>
      </w:r>
      <w:r>
        <w:fldChar w:fldCharType="separate"/>
      </w:r>
      <w:r>
        <w:rPr>
          <w:rFonts w:hint="eastAsia" w:ascii="楷体_GB2312" w:hAnsi="楷体_GB2312" w:eastAsia="楷体_GB2312" w:cs="楷体_GB2312"/>
          <w:sz w:val="24"/>
        </w:rPr>
        <w:t>序  言</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_Toc12464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ii</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1"/>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"_Toc25108" </w:instrText>
      </w:r>
      <w:r>
        <w:fldChar w:fldCharType="separate"/>
      </w:r>
      <w:r>
        <w:rPr>
          <w:rFonts w:hint="eastAsia" w:ascii="楷体_GB2312" w:hAnsi="楷体_GB2312" w:eastAsia="楷体_GB2312" w:cs="楷体_GB2312"/>
          <w:sz w:val="24"/>
        </w:rPr>
        <w:t>1 基本情况</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_Toc25108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"_Toc4602" </w:instrText>
      </w:r>
      <w:r>
        <w:fldChar w:fldCharType="separate"/>
      </w:r>
      <w:r>
        <w:rPr>
          <w:rFonts w:hint="eastAsia" w:ascii="楷体_GB2312" w:hAnsi="楷体_GB2312" w:eastAsia="楷体_GB2312" w:cs="楷体_GB2312"/>
          <w:sz w:val="24"/>
        </w:rPr>
        <w:t>1.1 办学基本条件</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_Toc4602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"_Toc18884" </w:instrText>
      </w:r>
      <w:r>
        <w:fldChar w:fldCharType="separate"/>
      </w:r>
      <w:r>
        <w:rPr>
          <w:rFonts w:hint="eastAsia" w:ascii="楷体_GB2312" w:hAnsi="楷体_GB2312" w:eastAsia="楷体_GB2312" w:cs="楷体_GB2312"/>
          <w:sz w:val="24"/>
        </w:rPr>
        <w:t>1.2 专业设置</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_Toc18884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"_Toc20706" </w:instrText>
      </w:r>
      <w:r>
        <w:fldChar w:fldCharType="separate"/>
      </w:r>
      <w:r>
        <w:rPr>
          <w:rFonts w:hint="eastAsia" w:ascii="楷体_GB2312" w:hAnsi="楷体_GB2312" w:eastAsia="楷体_GB2312" w:cs="楷体_GB2312"/>
          <w:sz w:val="24"/>
        </w:rPr>
        <w:t>（1）特色专业体系构建</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_Toc20706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"_Toc24903" </w:instrText>
      </w:r>
      <w:r>
        <w:fldChar w:fldCharType="separate"/>
      </w:r>
      <w:r>
        <w:rPr>
          <w:rFonts w:hint="eastAsia" w:ascii="楷体_GB2312" w:hAnsi="楷体_GB2312" w:eastAsia="楷体_GB2312" w:cs="楷体_GB2312"/>
          <w:sz w:val="24"/>
        </w:rPr>
        <w:t>（2）学生规模及比例</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_Toc24903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"_Toc27463" </w:instrText>
      </w:r>
      <w:r>
        <w:fldChar w:fldCharType="separate"/>
      </w:r>
      <w:r>
        <w:rPr>
          <w:rFonts w:hint="eastAsia" w:ascii="楷体_GB2312" w:hAnsi="楷体_GB2312" w:eastAsia="楷体_GB2312" w:cs="楷体_GB2312"/>
          <w:sz w:val="24"/>
        </w:rPr>
        <w:t>（3）2017年招生情况</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_Toc27463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"_Toc22125" </w:instrText>
      </w:r>
      <w:r>
        <w:fldChar w:fldCharType="separate"/>
      </w:r>
      <w:r>
        <w:rPr>
          <w:rFonts w:hint="eastAsia" w:ascii="楷体_GB2312" w:hAnsi="楷体_GB2312" w:eastAsia="楷体_GB2312" w:cs="楷体_GB2312"/>
          <w:sz w:val="24"/>
        </w:rPr>
        <w:t>1.3 师资队伍建设</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_Toc22125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"_Toc2433" </w:instrText>
      </w:r>
      <w:r>
        <w:fldChar w:fldCharType="separate"/>
      </w:r>
      <w:r>
        <w:rPr>
          <w:rFonts w:hint="eastAsia" w:ascii="楷体_GB2312" w:hAnsi="楷体_GB2312" w:eastAsia="楷体_GB2312" w:cs="楷体_GB2312"/>
          <w:sz w:val="24"/>
        </w:rPr>
        <w:t>1.4 实践教学条件建设</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_Toc2433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"_Toc8929" </w:instrText>
      </w:r>
      <w:r>
        <w:fldChar w:fldCharType="separate"/>
      </w:r>
      <w:r>
        <w:rPr>
          <w:rFonts w:hint="eastAsia" w:ascii="楷体_GB2312" w:hAnsi="楷体_GB2312" w:eastAsia="楷体_GB2312" w:cs="楷体_GB2312"/>
          <w:sz w:val="24"/>
        </w:rPr>
        <w:t>1.5 办学声誉</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_Toc8929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8</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1"/>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"_Toc20058" </w:instrText>
      </w:r>
      <w:r>
        <w:fldChar w:fldCharType="separate"/>
      </w:r>
      <w:r>
        <w:rPr>
          <w:rFonts w:hint="eastAsia" w:ascii="楷体_GB2312" w:hAnsi="楷体_GB2312" w:eastAsia="楷体_GB2312" w:cs="楷体_GB2312"/>
          <w:sz w:val="24"/>
        </w:rPr>
        <w:t>2 学生发展</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_Toc20058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10</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"_Toc30420" </w:instrText>
      </w:r>
      <w:r>
        <w:fldChar w:fldCharType="separate"/>
      </w:r>
      <w:r>
        <w:rPr>
          <w:rFonts w:hint="eastAsia" w:ascii="楷体_GB2312" w:hAnsi="楷体_GB2312" w:eastAsia="楷体_GB2312" w:cs="楷体_GB2312"/>
          <w:sz w:val="24"/>
        </w:rPr>
        <w:t>2.1 就业质量</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_Toc30420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10</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"_Toc1955" </w:instrText>
      </w:r>
      <w:r>
        <w:fldChar w:fldCharType="separate"/>
      </w:r>
      <w:r>
        <w:rPr>
          <w:rFonts w:hint="eastAsia" w:ascii="楷体_GB2312" w:hAnsi="楷体_GB2312" w:eastAsia="楷体_GB2312" w:cs="楷体_GB2312"/>
          <w:sz w:val="24"/>
        </w:rPr>
        <w:t>（1）毕业生就业率长期维持高位并持续上升</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_Toc1955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"_Toc21933" </w:instrText>
      </w:r>
      <w:r>
        <w:fldChar w:fldCharType="separate"/>
      </w:r>
      <w:r>
        <w:rPr>
          <w:rFonts w:hint="eastAsia" w:ascii="楷体_GB2312" w:hAnsi="楷体_GB2312" w:eastAsia="楷体_GB2312" w:cs="楷体_GB2312"/>
          <w:sz w:val="24"/>
        </w:rPr>
        <w:t>【典型案例1】</w:t>
      </w:r>
      <w:r>
        <w:rPr>
          <w:rFonts w:hint="eastAsia" w:ascii="楷体_GB2312" w:hAnsi="楷体_GB2312" w:eastAsia="楷体_GB2312" w:cs="楷体_GB2312"/>
          <w:w w:val="90"/>
          <w:sz w:val="24"/>
        </w:rPr>
        <w:t>湖南省化工行业2018届高校毕业生供需见面会在我校举行</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_Toc21933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"_Toc19613" </w:instrText>
      </w:r>
      <w:r>
        <w:fldChar w:fldCharType="separate"/>
      </w:r>
      <w:r>
        <w:rPr>
          <w:rFonts w:hint="eastAsia" w:ascii="楷体_GB2312" w:hAnsi="楷体_GB2312" w:eastAsia="楷体_GB2312" w:cs="楷体_GB2312"/>
          <w:sz w:val="24"/>
        </w:rPr>
        <w:t>【典型案例2】“就业帮帮团”，当好毕业学生的“红娘”</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_Toc19613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"_Toc23890" </w:instrText>
      </w:r>
      <w:r>
        <w:fldChar w:fldCharType="separate"/>
      </w:r>
      <w:r>
        <w:rPr>
          <w:rFonts w:hint="eastAsia" w:ascii="楷体_GB2312" w:hAnsi="楷体_GB2312" w:eastAsia="楷体_GB2312" w:cs="楷体_GB2312"/>
          <w:sz w:val="24"/>
        </w:rPr>
        <w:t>（2）人才培养质量得到了用人单位和毕业生本人的高度认可</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_Toc23890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"_Toc16532" </w:instrText>
      </w:r>
      <w:r>
        <w:fldChar w:fldCharType="separate"/>
      </w:r>
      <w:r>
        <w:rPr>
          <w:rFonts w:hint="eastAsia" w:ascii="楷体_GB2312" w:hAnsi="楷体_GB2312" w:eastAsia="楷体_GB2312" w:cs="楷体_GB2312"/>
          <w:sz w:val="24"/>
        </w:rPr>
        <w:t>（3）毕业生薪资水平持续较高</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_Toc16532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"_Toc13530" </w:instrText>
      </w:r>
      <w:r>
        <w:fldChar w:fldCharType="separate"/>
      </w:r>
      <w:r>
        <w:rPr>
          <w:rFonts w:hint="eastAsia" w:ascii="楷体_GB2312" w:hAnsi="楷体_GB2312" w:eastAsia="楷体_GB2312" w:cs="楷体_GB2312"/>
          <w:sz w:val="24"/>
        </w:rPr>
        <w:t>2.2 职业发展</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_Toc13530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"_Toc9047" </w:instrText>
      </w:r>
      <w:r>
        <w:fldChar w:fldCharType="separate"/>
      </w:r>
      <w:r>
        <w:rPr>
          <w:rFonts w:hint="eastAsia" w:ascii="楷体_GB2312" w:hAnsi="楷体_GB2312" w:eastAsia="楷体_GB2312" w:cs="楷体_GB2312"/>
          <w:sz w:val="24"/>
        </w:rPr>
        <w:t>（1）毕业三年后月收入增长较快</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_Toc9047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"_Toc17824" </w:instrText>
      </w:r>
      <w:r>
        <w:fldChar w:fldCharType="separate"/>
      </w:r>
      <w:r>
        <w:rPr>
          <w:rFonts w:hint="eastAsia" w:ascii="楷体_GB2312" w:hAnsi="楷体_GB2312" w:eastAsia="楷体_GB2312" w:cs="楷体_GB2312"/>
          <w:sz w:val="24"/>
        </w:rPr>
        <w:t>（2）毕业生职业发展通道顺畅</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_Toc17824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"_Toc26232" </w:instrText>
      </w:r>
      <w:r>
        <w:fldChar w:fldCharType="separate"/>
      </w:r>
      <w:r>
        <w:rPr>
          <w:rFonts w:hint="eastAsia" w:ascii="楷体_GB2312" w:hAnsi="楷体_GB2312" w:eastAsia="楷体_GB2312" w:cs="楷体_GB2312"/>
          <w:sz w:val="24"/>
        </w:rPr>
        <w:t>【典型案例3】湖南化工职院优秀校友榜</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_Toc26232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17</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"_Toc14857" </w:instrText>
      </w:r>
      <w:r>
        <w:fldChar w:fldCharType="separate"/>
      </w:r>
      <w:r>
        <w:rPr>
          <w:rFonts w:hint="eastAsia" w:ascii="楷体_GB2312" w:hAnsi="楷体_GB2312" w:eastAsia="楷体_GB2312" w:cs="楷体_GB2312"/>
          <w:sz w:val="24"/>
        </w:rPr>
        <w:t>2.3 学生素质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_Toc14857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18</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"_Toc30068" </w:instrText>
      </w:r>
      <w:r>
        <w:fldChar w:fldCharType="separate"/>
      </w:r>
      <w:r>
        <w:rPr>
          <w:rFonts w:hint="eastAsia" w:ascii="楷体_GB2312" w:hAnsi="楷体_GB2312" w:eastAsia="楷体_GB2312" w:cs="楷体_GB2312"/>
          <w:sz w:val="24"/>
        </w:rPr>
        <w:t>（1）专业技能水平高</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_Toc30068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18</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"_Toc22411" </w:instrText>
      </w:r>
      <w:r>
        <w:fldChar w:fldCharType="separate"/>
      </w:r>
      <w:r>
        <w:rPr>
          <w:rFonts w:hint="eastAsia" w:ascii="楷体_GB2312" w:hAnsi="楷体_GB2312" w:eastAsia="楷体_GB2312" w:cs="楷体_GB2312"/>
          <w:sz w:val="24"/>
        </w:rPr>
        <w:t>【典型案例4】学生参加全国技能竞赛摘金夺银</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_Toc22411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19</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"_Toc4146" </w:instrText>
      </w:r>
      <w:r>
        <w:fldChar w:fldCharType="separate"/>
      </w:r>
      <w:r>
        <w:rPr>
          <w:rFonts w:hint="eastAsia" w:ascii="楷体_GB2312" w:hAnsi="楷体_GB2312" w:eastAsia="楷体_GB2312" w:cs="楷体_GB2312"/>
          <w:sz w:val="24"/>
        </w:rPr>
        <w:t>（2）综合素质过硬</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_Toc4146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20</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"_Toc13733" </w:instrText>
      </w:r>
      <w:r>
        <w:fldChar w:fldCharType="separate"/>
      </w:r>
      <w:r>
        <w:rPr>
          <w:rFonts w:hint="eastAsia" w:ascii="楷体_GB2312" w:hAnsi="楷体_GB2312" w:eastAsia="楷体_GB2312" w:cs="楷体_GB2312"/>
          <w:sz w:val="24"/>
        </w:rPr>
        <w:t>【典型案例5】学院举办“中国梦激扬青春梦”主题教育系列活动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_Toc13733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"_Toc21125" </w:instrText>
      </w:r>
      <w:r>
        <w:fldChar w:fldCharType="separate"/>
      </w:r>
      <w:r>
        <w:rPr>
          <w:rFonts w:hint="eastAsia" w:ascii="楷体_GB2312" w:hAnsi="楷体_GB2312" w:eastAsia="楷体_GB2312" w:cs="楷体_GB2312"/>
          <w:sz w:val="24"/>
        </w:rPr>
        <w:t>2.4 创新创业</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_Toc21125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"_Toc8687" </w:instrText>
      </w:r>
      <w:r>
        <w:fldChar w:fldCharType="separate"/>
      </w:r>
      <w:r>
        <w:rPr>
          <w:rFonts w:hint="eastAsia" w:ascii="楷体_GB2312" w:hAnsi="楷体_GB2312" w:eastAsia="楷体_GB2312" w:cs="楷体_GB2312"/>
          <w:sz w:val="24"/>
        </w:rPr>
        <w:t>【典型案例6】湖南化工职院双创“火”</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_Toc8687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"_Toc6277" </w:instrText>
      </w:r>
      <w:r>
        <w:fldChar w:fldCharType="separate"/>
      </w:r>
      <w:r>
        <w:rPr>
          <w:rFonts w:hint="eastAsia" w:ascii="楷体_GB2312" w:hAnsi="楷体_GB2312" w:eastAsia="楷体_GB2312" w:cs="楷体_GB2312"/>
          <w:sz w:val="24"/>
        </w:rPr>
        <w:t>【典型案例7】学院获批中关村创业就业实践基地</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_Toc6277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"_Toc16755" </w:instrText>
      </w:r>
      <w:r>
        <w:fldChar w:fldCharType="separate"/>
      </w:r>
      <w:r>
        <w:rPr>
          <w:rFonts w:hint="eastAsia" w:ascii="楷体_GB2312" w:hAnsi="楷体_GB2312" w:eastAsia="楷体_GB2312" w:cs="楷体_GB2312"/>
          <w:sz w:val="24"/>
        </w:rPr>
        <w:t>【典型案例8】毕业生创办公司6年比肩化妆品龙头企业</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_Toc16755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"_Toc12039" </w:instrText>
      </w:r>
      <w:r>
        <w:fldChar w:fldCharType="separate"/>
      </w:r>
      <w:r>
        <w:rPr>
          <w:rFonts w:hint="eastAsia" w:ascii="楷体_GB2312" w:hAnsi="楷体_GB2312" w:eastAsia="楷体_GB2312" w:cs="楷体_GB2312"/>
          <w:sz w:val="24"/>
        </w:rPr>
        <w:t>【典型案例9】大一学生办厂生产“贵族”啤酒</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_Toc12039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"_Toc16866" </w:instrText>
      </w:r>
      <w:r>
        <w:fldChar w:fldCharType="separate"/>
      </w:r>
      <w:r>
        <w:rPr>
          <w:rFonts w:hint="eastAsia" w:ascii="楷体_GB2312" w:hAnsi="楷体_GB2312" w:eastAsia="楷体_GB2312" w:cs="楷体_GB2312"/>
          <w:sz w:val="24"/>
        </w:rPr>
        <w:t>2.5 关爱工程</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_Toc16866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"_Toc30841" </w:instrText>
      </w:r>
      <w:r>
        <w:fldChar w:fldCharType="separate"/>
      </w:r>
      <w:r>
        <w:rPr>
          <w:rFonts w:hint="eastAsia" w:ascii="楷体_GB2312" w:hAnsi="楷体_GB2312" w:eastAsia="楷体_GB2312" w:cs="楷体_GB2312"/>
          <w:sz w:val="24"/>
        </w:rPr>
        <w:t>（1）发挥五老优势，育四有新人</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_Toc30841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"_Toc16746" </w:instrText>
      </w:r>
      <w:r>
        <w:fldChar w:fldCharType="separate"/>
      </w:r>
      <w:r>
        <w:rPr>
          <w:rFonts w:hint="eastAsia" w:ascii="楷体_GB2312" w:hAnsi="楷体_GB2312" w:eastAsia="楷体_GB2312" w:cs="楷体_GB2312"/>
          <w:sz w:val="24"/>
        </w:rPr>
        <w:t>【典型案例10】浓浓真情育春苗——全国人大常委会原副委员长、中国关工委主任顾秀莲高度肯定学院关工委工作</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_Toc16746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"_Toc12776" </w:instrText>
      </w:r>
      <w:r>
        <w:fldChar w:fldCharType="separate"/>
      </w:r>
      <w:r>
        <w:rPr>
          <w:rFonts w:hint="eastAsia" w:ascii="楷体_GB2312" w:hAnsi="楷体_GB2312" w:eastAsia="楷体_GB2312" w:cs="楷体_GB2312"/>
          <w:sz w:val="24"/>
        </w:rPr>
        <w:t>（2）不落下一个贫困学生</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_Toc12776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27</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"_Toc2608" </w:instrText>
      </w:r>
      <w:r>
        <w:fldChar w:fldCharType="separate"/>
      </w:r>
      <w:r>
        <w:rPr>
          <w:rFonts w:hint="eastAsia" w:ascii="楷体_GB2312" w:hAnsi="楷体_GB2312" w:eastAsia="楷体_GB2312" w:cs="楷体_GB2312"/>
          <w:sz w:val="24"/>
        </w:rPr>
        <w:t>2.6 计分卡</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_Toc2608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28</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1"/>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"_Toc8449" </w:instrText>
      </w:r>
      <w:r>
        <w:fldChar w:fldCharType="separate"/>
      </w:r>
      <w:r>
        <w:rPr>
          <w:rFonts w:hint="eastAsia" w:ascii="楷体_GB2312" w:hAnsi="楷体_GB2312" w:eastAsia="楷体_GB2312" w:cs="楷体_GB2312"/>
          <w:sz w:val="24"/>
        </w:rPr>
        <w:t>3 教育教学</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_Toc8449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29</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"_Toc26308" </w:instrText>
      </w:r>
      <w:r>
        <w:fldChar w:fldCharType="separate"/>
      </w:r>
      <w:r>
        <w:rPr>
          <w:rFonts w:hint="eastAsia" w:ascii="楷体_GB2312" w:hAnsi="楷体_GB2312" w:eastAsia="楷体_GB2312" w:cs="楷体_GB2312"/>
          <w:sz w:val="24"/>
        </w:rPr>
        <w:t>3.1 资源表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_Toc26308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29</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"_Toc31559" </w:instrText>
      </w:r>
      <w:r>
        <w:fldChar w:fldCharType="separate"/>
      </w:r>
      <w:r>
        <w:rPr>
          <w:rFonts w:hint="eastAsia" w:ascii="楷体_GB2312" w:hAnsi="楷体_GB2312" w:eastAsia="楷体_GB2312" w:cs="楷体_GB2312"/>
          <w:sz w:val="24"/>
        </w:rPr>
        <w:t>3.2 学习贯彻党的十九大会议精神</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_Toc31559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29</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"_Toc16136" </w:instrText>
      </w:r>
      <w:r>
        <w:fldChar w:fldCharType="separate"/>
      </w:r>
      <w:r>
        <w:rPr>
          <w:rFonts w:hint="eastAsia" w:ascii="楷体_GB2312" w:hAnsi="楷体_GB2312" w:eastAsia="楷体_GB2312" w:cs="楷体_GB2312"/>
          <w:sz w:val="24"/>
        </w:rPr>
        <w:t>【典型案例11】学院成立学习贯彻党的十九大精神宣讲团</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_Toc16136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30</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"_Toc6106" </w:instrText>
      </w:r>
      <w:r>
        <w:fldChar w:fldCharType="separate"/>
      </w:r>
      <w:r>
        <w:rPr>
          <w:rFonts w:hint="eastAsia" w:ascii="楷体_GB2312" w:hAnsi="楷体_GB2312" w:eastAsia="楷体_GB2312" w:cs="楷体_GB2312"/>
          <w:sz w:val="24"/>
        </w:rPr>
        <w:t>3.3 思想政治教育</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_Toc6106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"_Toc26965" </w:instrText>
      </w:r>
      <w:r>
        <w:fldChar w:fldCharType="separate"/>
      </w:r>
      <w:r>
        <w:rPr>
          <w:rFonts w:hint="eastAsia" w:ascii="楷体_GB2312" w:hAnsi="楷体_GB2312" w:eastAsia="楷体_GB2312" w:cs="楷体_GB2312"/>
          <w:sz w:val="24"/>
        </w:rPr>
        <w:t>【典型案例12】歌声嘹亮 唱响党的新篇章</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_Toc26965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"_Toc18556" </w:instrText>
      </w:r>
      <w:r>
        <w:fldChar w:fldCharType="separate"/>
      </w:r>
      <w:r>
        <w:rPr>
          <w:rFonts w:hint="eastAsia" w:ascii="楷体_GB2312" w:hAnsi="楷体_GB2312" w:eastAsia="楷体_GB2312" w:cs="楷体_GB2312"/>
          <w:sz w:val="24"/>
        </w:rPr>
        <w:t>【典型案例13】</w:t>
      </w:r>
      <w:r>
        <w:rPr>
          <w:rFonts w:hint="eastAsia" w:ascii="楷体_GB2312" w:hAnsi="楷体_GB2312" w:eastAsia="楷体_GB2312" w:cs="楷体_GB2312"/>
          <w:w w:val="90"/>
          <w:sz w:val="24"/>
        </w:rPr>
        <w:t>移动教学+网络直播”扩展道德正能量，激活大思政课堂</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_Toc18556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"_Toc14836" </w:instrText>
      </w:r>
      <w:r>
        <w:fldChar w:fldCharType="separate"/>
      </w:r>
      <w:r>
        <w:rPr>
          <w:rFonts w:hint="eastAsia" w:ascii="楷体_GB2312" w:hAnsi="楷体_GB2312" w:eastAsia="楷体_GB2312" w:cs="楷体_GB2312"/>
          <w:sz w:val="24"/>
        </w:rPr>
        <w:t>3.4 专业（群）建设</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_Toc14836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"_Toc23478" </w:instrText>
      </w:r>
      <w:r>
        <w:fldChar w:fldCharType="separate"/>
      </w:r>
      <w:r>
        <w:rPr>
          <w:rFonts w:hint="eastAsia" w:ascii="楷体_GB2312" w:hAnsi="楷体_GB2312" w:eastAsia="楷体_GB2312" w:cs="楷体_GB2312"/>
          <w:sz w:val="24"/>
        </w:rPr>
        <w:t>（1）对接产业构建专业集群</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_Toc23478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"_Toc27420" </w:instrText>
      </w:r>
      <w:r>
        <w:fldChar w:fldCharType="separate"/>
      </w:r>
      <w:r>
        <w:rPr>
          <w:rFonts w:hint="eastAsia" w:ascii="楷体_GB2312" w:hAnsi="楷体_GB2312" w:eastAsia="楷体_GB2312" w:cs="楷体_GB2312"/>
          <w:sz w:val="24"/>
        </w:rPr>
        <w:t>（2）专业品牌优势明显</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_Toc27420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"_Toc6488" </w:instrText>
      </w:r>
      <w:r>
        <w:fldChar w:fldCharType="separate"/>
      </w:r>
      <w:r>
        <w:rPr>
          <w:rFonts w:hint="eastAsia" w:ascii="楷体_GB2312" w:hAnsi="楷体_GB2312" w:eastAsia="楷体_GB2312" w:cs="楷体_GB2312"/>
          <w:sz w:val="24"/>
        </w:rPr>
        <w:t>3.5 教师素质提升</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_Toc6488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"_Toc2574" </w:instrText>
      </w:r>
      <w:r>
        <w:fldChar w:fldCharType="separate"/>
      </w:r>
      <w:r>
        <w:rPr>
          <w:rFonts w:hint="eastAsia" w:ascii="楷体_GB2312" w:hAnsi="楷体_GB2312" w:eastAsia="楷体_GB2312" w:cs="楷体_GB2312"/>
          <w:sz w:val="24"/>
        </w:rPr>
        <w:t>（1）教师队伍结构优良</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_Toc2574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"_Toc21402" </w:instrText>
      </w:r>
      <w:r>
        <w:fldChar w:fldCharType="separate"/>
      </w:r>
      <w:r>
        <w:rPr>
          <w:rFonts w:hint="eastAsia" w:ascii="楷体_GB2312" w:hAnsi="楷体_GB2312" w:eastAsia="楷体_GB2312" w:cs="楷体_GB2312"/>
          <w:sz w:val="24"/>
        </w:rPr>
        <w:t>（2）教师队伍实力雄厚</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_Toc21402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37</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"_Toc14872" </w:instrText>
      </w:r>
      <w:r>
        <w:fldChar w:fldCharType="separate"/>
      </w:r>
      <w:r>
        <w:rPr>
          <w:rFonts w:hint="eastAsia" w:ascii="楷体_GB2312" w:hAnsi="楷体_GB2312" w:eastAsia="楷体_GB2312" w:cs="楷体_GB2312"/>
          <w:sz w:val="24"/>
        </w:rPr>
        <w:t>【典型案例14】刘望教授获评株洲市领军人才</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_Toc14872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38</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"_Toc15021" </w:instrText>
      </w:r>
      <w:r>
        <w:fldChar w:fldCharType="separate"/>
      </w:r>
      <w:r>
        <w:rPr>
          <w:rFonts w:hint="eastAsia" w:ascii="楷体_GB2312" w:hAnsi="楷体_GB2312" w:eastAsia="楷体_GB2312" w:cs="楷体_GB2312"/>
          <w:sz w:val="24"/>
        </w:rPr>
        <w:t>【典型案例15】朱再英：高职院校一线的省党代表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_Toc15021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39</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"_Toc25714" </w:instrText>
      </w:r>
      <w:r>
        <w:fldChar w:fldCharType="separate"/>
      </w:r>
      <w:r>
        <w:rPr>
          <w:rFonts w:hint="eastAsia" w:ascii="楷体_GB2312" w:hAnsi="楷体_GB2312" w:eastAsia="楷体_GB2312" w:cs="楷体_GB2312"/>
          <w:sz w:val="24"/>
        </w:rPr>
        <w:t>【典型案例16】学院教师在省说课竞赛中斩获三金一铜</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_Toc25714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39</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"_Toc19845" </w:instrText>
      </w:r>
      <w:r>
        <w:fldChar w:fldCharType="separate"/>
      </w:r>
      <w:r>
        <w:rPr>
          <w:rFonts w:hint="eastAsia" w:ascii="楷体_GB2312" w:hAnsi="楷体_GB2312" w:eastAsia="楷体_GB2312" w:cs="楷体_GB2312"/>
          <w:sz w:val="24"/>
        </w:rPr>
        <w:t>（3）兼职教师队伍建设成效显著</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_Toc19845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40</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"_Toc25692" </w:instrText>
      </w:r>
      <w:r>
        <w:fldChar w:fldCharType="separate"/>
      </w:r>
      <w:r>
        <w:rPr>
          <w:rFonts w:hint="eastAsia" w:ascii="楷体_GB2312" w:hAnsi="楷体_GB2312" w:eastAsia="楷体_GB2312" w:cs="楷体_GB2312"/>
          <w:sz w:val="24"/>
        </w:rPr>
        <w:t>3.6 校企合作育人</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_Toc25692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"_Toc23057" </w:instrText>
      </w:r>
      <w:r>
        <w:fldChar w:fldCharType="separate"/>
      </w:r>
      <w:r>
        <w:rPr>
          <w:rFonts w:hint="eastAsia" w:ascii="楷体_GB2312" w:hAnsi="楷体_GB2312" w:eastAsia="楷体_GB2312" w:cs="楷体_GB2312"/>
          <w:sz w:val="24"/>
        </w:rPr>
        <w:t>（1）深度融合，协同创新</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_Toc23057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"_Toc30959" </w:instrText>
      </w:r>
      <w:r>
        <w:fldChar w:fldCharType="separate"/>
      </w:r>
      <w:r>
        <w:rPr>
          <w:rFonts w:hint="eastAsia" w:ascii="楷体_GB2312" w:hAnsi="楷体_GB2312" w:eastAsia="楷体_GB2312" w:cs="楷体_GB2312"/>
          <w:sz w:val="24"/>
        </w:rPr>
        <w:t>【典型案例17】华南化妆品行业校友分会在我校正式成立</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_Toc30959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"_Toc20562" </w:instrText>
      </w:r>
      <w:r>
        <w:fldChar w:fldCharType="separate"/>
      </w:r>
      <w:r>
        <w:rPr>
          <w:rFonts w:hint="eastAsia" w:ascii="楷体_GB2312" w:hAnsi="楷体_GB2312" w:eastAsia="楷体_GB2312" w:cs="楷体_GB2312"/>
          <w:sz w:val="24"/>
        </w:rPr>
        <w:t>（2）校企共育工匠人才</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_Toc20562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"_Toc21094" </w:instrText>
      </w:r>
      <w:r>
        <w:fldChar w:fldCharType="separate"/>
      </w:r>
      <w:r>
        <w:rPr>
          <w:rFonts w:hint="eastAsia" w:ascii="楷体_GB2312" w:hAnsi="楷体_GB2312" w:eastAsia="楷体_GB2312" w:cs="楷体_GB2312"/>
          <w:sz w:val="24"/>
        </w:rPr>
        <w:t>【典型案例18】赛场夫妻档包揽全省铜行业仪表工技术比武冠亚军</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_Toc21094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"_Toc1760" </w:instrText>
      </w:r>
      <w:r>
        <w:fldChar w:fldCharType="separate"/>
      </w:r>
      <w:r>
        <w:rPr>
          <w:rFonts w:hint="eastAsia" w:ascii="楷体_GB2312" w:hAnsi="楷体_GB2312" w:eastAsia="楷体_GB2312" w:cs="楷体_GB2312"/>
          <w:sz w:val="24"/>
        </w:rPr>
        <w:t>【典型案例19】校企共建学院 学生上课即上班</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_Toc1760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"_Toc32514" </w:instrText>
      </w:r>
      <w:r>
        <w:fldChar w:fldCharType="separate"/>
      </w:r>
      <w:r>
        <w:rPr>
          <w:rFonts w:hint="eastAsia" w:ascii="楷体_GB2312" w:hAnsi="楷体_GB2312" w:eastAsia="楷体_GB2312" w:cs="楷体_GB2312"/>
          <w:sz w:val="24"/>
        </w:rPr>
        <w:t>（3）以校友会为平台，为学院内涵发展添砖加瓦</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_Toc32514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"_Toc17631" </w:instrText>
      </w:r>
      <w:r>
        <w:fldChar w:fldCharType="separate"/>
      </w:r>
      <w:r>
        <w:rPr>
          <w:rFonts w:hint="eastAsia" w:ascii="楷体_GB2312" w:hAnsi="楷体_GB2312" w:eastAsia="楷体_GB2312" w:cs="楷体_GB2312"/>
          <w:sz w:val="24"/>
        </w:rPr>
        <w:t>【典型案例20】回母校办自己的化妆品工厂</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_Toc17631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"_Toc23469" </w:instrText>
      </w:r>
      <w:r>
        <w:fldChar w:fldCharType="separate"/>
      </w:r>
      <w:r>
        <w:rPr>
          <w:rFonts w:hint="eastAsia" w:ascii="楷体_GB2312" w:hAnsi="楷体_GB2312" w:eastAsia="楷体_GB2312" w:cs="楷体_GB2312"/>
          <w:sz w:val="24"/>
        </w:rPr>
        <w:t>3.7 课程（教学资源）建设</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_Toc23469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"_Toc17536" </w:instrText>
      </w:r>
      <w:r>
        <w:fldChar w:fldCharType="separate"/>
      </w:r>
      <w:r>
        <w:rPr>
          <w:rFonts w:hint="eastAsia" w:ascii="楷体_GB2312" w:hAnsi="楷体_GB2312" w:eastAsia="楷体_GB2312" w:cs="楷体_GB2312"/>
          <w:sz w:val="24"/>
        </w:rPr>
        <w:t>（1）专业群课程体系建设取得明显进展</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_Toc17536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"_Toc3844" </w:instrText>
      </w:r>
      <w:r>
        <w:fldChar w:fldCharType="separate"/>
      </w:r>
      <w:r>
        <w:rPr>
          <w:rFonts w:hint="eastAsia" w:ascii="楷体_GB2312" w:hAnsi="楷体_GB2312" w:eastAsia="楷体_GB2312" w:cs="楷体_GB2312"/>
          <w:sz w:val="24"/>
        </w:rPr>
        <w:t>（2）引入先进技术标准建设优质课程</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_Toc3844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47</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"_Toc14959" </w:instrText>
      </w:r>
      <w:r>
        <w:fldChar w:fldCharType="separate"/>
      </w:r>
      <w:r>
        <w:rPr>
          <w:rFonts w:hint="eastAsia" w:ascii="楷体_GB2312" w:hAnsi="楷体_GB2312" w:eastAsia="楷体_GB2312" w:cs="楷体_GB2312"/>
          <w:sz w:val="24"/>
        </w:rPr>
        <w:t>（3）多方投入共建数字课程资源</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_Toc14959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47</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"_Toc2425" </w:instrText>
      </w:r>
      <w:r>
        <w:fldChar w:fldCharType="separate"/>
      </w:r>
      <w:r>
        <w:rPr>
          <w:rFonts w:hint="eastAsia" w:ascii="楷体_GB2312" w:hAnsi="楷体_GB2312" w:eastAsia="楷体_GB2312" w:cs="楷体_GB2312"/>
          <w:sz w:val="24"/>
        </w:rPr>
        <w:t>【典型案例21】学校与化学工业出版社合作开发数字</w:t>
      </w:r>
      <w:r>
        <w:rPr>
          <w:rFonts w:hint="eastAsia" w:ascii="楷体_GB2312" w:hAnsi="楷体_GB2312" w:eastAsia="楷体_GB2312" w:cs="楷体_GB2312"/>
          <w:sz w:val="24"/>
          <w:lang w:eastAsia="zh-CN"/>
        </w:rPr>
        <w:t>课程</w:t>
      </w:r>
      <w:r>
        <w:rPr>
          <w:rFonts w:hint="eastAsia" w:ascii="楷体_GB2312" w:hAnsi="楷体_GB2312" w:eastAsia="楷体_GB2312" w:cs="楷体_GB2312"/>
          <w:sz w:val="24"/>
        </w:rPr>
        <w:t>资源</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_Toc2425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47</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"_Toc4585" </w:instrText>
      </w:r>
      <w:r>
        <w:fldChar w:fldCharType="separate"/>
      </w:r>
      <w:r>
        <w:rPr>
          <w:rFonts w:hint="eastAsia" w:ascii="楷体_GB2312" w:hAnsi="楷体_GB2312" w:eastAsia="楷体_GB2312" w:cs="楷体_GB2312"/>
          <w:sz w:val="24"/>
        </w:rPr>
        <w:t>3.8 教育信息化</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_Toc4585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48</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"_Toc7074" </w:instrText>
      </w:r>
      <w:r>
        <w:fldChar w:fldCharType="separate"/>
      </w:r>
      <w:r>
        <w:rPr>
          <w:rFonts w:hint="eastAsia" w:ascii="楷体_GB2312" w:hAnsi="楷体_GB2312" w:eastAsia="楷体_GB2312" w:cs="楷体_GB2312"/>
          <w:sz w:val="24"/>
        </w:rPr>
        <w:t>（1）从试点到常态推进信息化教学方法创新应用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_Toc7074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49</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"_Toc19021" </w:instrText>
      </w:r>
      <w:r>
        <w:fldChar w:fldCharType="separate"/>
      </w:r>
      <w:r>
        <w:rPr>
          <w:rFonts w:hint="eastAsia" w:ascii="楷体_GB2312" w:hAnsi="楷体_GB2312" w:eastAsia="楷体_GB2312" w:cs="楷体_GB2312"/>
          <w:sz w:val="24"/>
        </w:rPr>
        <w:t>（2）实施流程再造式教学管理助力信息化教学方法应用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_Toc19021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50</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"_Toc31735" </w:instrText>
      </w:r>
      <w:r>
        <w:fldChar w:fldCharType="separate"/>
      </w:r>
      <w:r>
        <w:rPr>
          <w:rFonts w:hint="eastAsia" w:ascii="楷体_GB2312" w:hAnsi="楷体_GB2312" w:eastAsia="楷体_GB2312" w:cs="楷体_GB2312"/>
          <w:sz w:val="24"/>
        </w:rPr>
        <w:t>（3）构建四项长效机制促进信息化教学应用持续推进</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_Toc31735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50</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"_Toc2660" </w:instrText>
      </w:r>
      <w:r>
        <w:fldChar w:fldCharType="separate"/>
      </w:r>
      <w:r>
        <w:rPr>
          <w:rFonts w:hint="eastAsia" w:ascii="楷体_GB2312" w:hAnsi="楷体_GB2312" w:eastAsia="楷体_GB2312" w:cs="楷体_GB2312"/>
          <w:sz w:val="24"/>
        </w:rPr>
        <w:t>【典型案例22】学院教师参加2017年全国职业院校信息化教学大赛喜获佳绩</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_Toc2660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"_Toc8078" </w:instrText>
      </w:r>
      <w:r>
        <w:fldChar w:fldCharType="separate"/>
      </w:r>
      <w:r>
        <w:rPr>
          <w:rFonts w:hint="eastAsia" w:ascii="楷体_GB2312" w:hAnsi="楷体_GB2312" w:eastAsia="楷体_GB2312" w:cs="楷体_GB2312"/>
          <w:sz w:val="24"/>
        </w:rPr>
        <w:t>【典型案例23】学院在省信息化教学大赛中获一等奖5项</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_Toc8078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"_Toc24243" </w:instrText>
      </w:r>
      <w:r>
        <w:fldChar w:fldCharType="separate"/>
      </w:r>
      <w:r>
        <w:rPr>
          <w:rFonts w:hint="eastAsia" w:ascii="楷体_GB2312" w:hAnsi="楷体_GB2312" w:eastAsia="楷体_GB2312" w:cs="楷体_GB2312"/>
          <w:sz w:val="24"/>
        </w:rPr>
        <w:t>3.9 质量保障措施</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_Toc24243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"_Toc9613" </w:instrText>
      </w:r>
      <w:r>
        <w:fldChar w:fldCharType="separate"/>
      </w:r>
      <w:r>
        <w:rPr>
          <w:rFonts w:hint="eastAsia" w:ascii="楷体_GB2312" w:hAnsi="楷体_GB2312" w:eastAsia="楷体_GB2312" w:cs="楷体_GB2312"/>
          <w:sz w:val="24"/>
        </w:rPr>
        <w:t>（1）以内部诊改深化质量意识</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_Toc9613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"_Toc914" </w:instrText>
      </w:r>
      <w:r>
        <w:fldChar w:fldCharType="separate"/>
      </w:r>
      <w:r>
        <w:rPr>
          <w:rFonts w:hint="eastAsia" w:ascii="楷体_GB2312" w:hAnsi="楷体_GB2312" w:eastAsia="楷体_GB2312" w:cs="楷体_GB2312"/>
          <w:sz w:val="24"/>
        </w:rPr>
        <w:t>（2）以专项督导深化质量效益</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_Toc914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1"/>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"_Toc21364" </w:instrText>
      </w:r>
      <w:r>
        <w:fldChar w:fldCharType="separate"/>
      </w:r>
      <w:r>
        <w:rPr>
          <w:rFonts w:hint="eastAsia" w:ascii="楷体_GB2312" w:hAnsi="楷体_GB2312" w:eastAsia="楷体_GB2312" w:cs="楷体_GB2312"/>
          <w:sz w:val="24"/>
        </w:rPr>
        <w:t>4 政策保障</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_Toc21364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"_Toc24809" </w:instrText>
      </w:r>
      <w:r>
        <w:fldChar w:fldCharType="separate"/>
      </w:r>
      <w:r>
        <w:rPr>
          <w:rFonts w:hint="eastAsia" w:ascii="楷体_GB2312" w:hAnsi="楷体_GB2312" w:eastAsia="楷体_GB2312" w:cs="楷体_GB2312"/>
          <w:sz w:val="24"/>
        </w:rPr>
        <w:t>4.1政策落实表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_Toc24809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"_Toc20587" </w:instrText>
      </w:r>
      <w:r>
        <w:fldChar w:fldCharType="separate"/>
      </w:r>
      <w:r>
        <w:rPr>
          <w:rFonts w:hint="eastAsia" w:ascii="楷体_GB2312" w:hAnsi="楷体_GB2312" w:eastAsia="楷体_GB2312" w:cs="楷体_GB2312"/>
          <w:sz w:val="24"/>
        </w:rPr>
        <w:t>4.2 创新发展行动计划引领学院内涵发展</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_Toc20587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"_Toc19633" </w:instrText>
      </w:r>
      <w:r>
        <w:fldChar w:fldCharType="separate"/>
      </w:r>
      <w:r>
        <w:rPr>
          <w:rFonts w:hint="eastAsia" w:ascii="楷体_GB2312" w:hAnsi="楷体_GB2312" w:eastAsia="楷体_GB2312" w:cs="楷体_GB2312"/>
          <w:sz w:val="24"/>
        </w:rPr>
        <w:t>4.3 湖南省卓越计划助力学院</w:t>
      </w:r>
      <w:r>
        <w:rPr>
          <w:rFonts w:hint="eastAsia" w:ascii="楷体_GB2312" w:hAnsi="楷体_GB2312" w:eastAsia="楷体_GB2312" w:cs="楷体_GB2312"/>
          <w:sz w:val="24"/>
          <w:lang w:val="zh-CN"/>
        </w:rPr>
        <w:t>冲优质、争一流</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_Toc19633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"_Toc48" </w:instrText>
      </w:r>
      <w:r>
        <w:fldChar w:fldCharType="separate"/>
      </w:r>
      <w:r>
        <w:rPr>
          <w:rFonts w:hint="eastAsia" w:ascii="楷体_GB2312" w:hAnsi="楷体_GB2312" w:eastAsia="楷体_GB2312" w:cs="楷体_GB2312"/>
          <w:sz w:val="24"/>
        </w:rPr>
        <w:t>4.4 经费保障</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_Toc48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1"/>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"_Toc4785" </w:instrText>
      </w:r>
      <w:r>
        <w:fldChar w:fldCharType="separate"/>
      </w:r>
      <w:r>
        <w:rPr>
          <w:rFonts w:hint="eastAsia" w:ascii="楷体_GB2312" w:hAnsi="楷体_GB2312" w:eastAsia="楷体_GB2312" w:cs="楷体_GB2312"/>
          <w:sz w:val="24"/>
        </w:rPr>
        <w:t>5 国际合作</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_Toc4785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57</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"_Toc8803" </w:instrText>
      </w:r>
      <w:r>
        <w:fldChar w:fldCharType="separate"/>
      </w:r>
      <w:r>
        <w:rPr>
          <w:rFonts w:hint="eastAsia" w:ascii="楷体_GB2312" w:hAnsi="楷体_GB2312" w:eastAsia="楷体_GB2312" w:cs="楷体_GB2312"/>
          <w:sz w:val="24"/>
        </w:rPr>
        <w:t>5.1 国际影响表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_Toc8803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57</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"_Toc29467" </w:instrText>
      </w:r>
      <w:r>
        <w:fldChar w:fldCharType="separate"/>
      </w:r>
      <w:r>
        <w:rPr>
          <w:rFonts w:hint="eastAsia" w:ascii="楷体_GB2312" w:hAnsi="楷体_GB2312" w:eastAsia="楷体_GB2312" w:cs="楷体_GB2312"/>
          <w:sz w:val="24"/>
        </w:rPr>
        <w:t>5.2 合作培养</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_Toc29467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57</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"_Toc16702" </w:instrText>
      </w:r>
      <w:r>
        <w:fldChar w:fldCharType="separate"/>
      </w:r>
      <w:r>
        <w:rPr>
          <w:rFonts w:hint="eastAsia" w:ascii="楷体_GB2312" w:hAnsi="楷体_GB2312" w:eastAsia="楷体_GB2312" w:cs="楷体_GB2312"/>
          <w:sz w:val="24"/>
        </w:rPr>
        <w:t>5.3 双向交流</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_Toc16702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58</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1"/>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"_Toc5859" </w:instrText>
      </w:r>
      <w:r>
        <w:fldChar w:fldCharType="separate"/>
      </w:r>
      <w:r>
        <w:rPr>
          <w:rFonts w:hint="eastAsia" w:ascii="楷体_GB2312" w:hAnsi="楷体_GB2312" w:eastAsia="楷体_GB2312" w:cs="楷体_GB2312"/>
          <w:sz w:val="24"/>
        </w:rPr>
        <w:t>6改革创新</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_Toc5859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"_Toc4858" </w:instrText>
      </w:r>
      <w:r>
        <w:fldChar w:fldCharType="separate"/>
      </w:r>
      <w:r>
        <w:rPr>
          <w:rFonts w:hint="eastAsia" w:ascii="楷体_GB2312" w:hAnsi="楷体_GB2312" w:eastAsia="楷体_GB2312" w:cs="楷体_GB2312"/>
          <w:sz w:val="24"/>
        </w:rPr>
        <w:t>6.1 完善顶层设计，办学思路和定位更加清晰准确</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_Toc4858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"_Toc12303" </w:instrText>
      </w:r>
      <w:r>
        <w:fldChar w:fldCharType="separate"/>
      </w:r>
      <w:r>
        <w:rPr>
          <w:rFonts w:hint="eastAsia" w:ascii="楷体_GB2312" w:hAnsi="楷体_GB2312" w:eastAsia="楷体_GB2312" w:cs="楷体_GB2312"/>
          <w:sz w:val="24"/>
        </w:rPr>
        <w:t>（1）完善顶层设计</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_Toc12303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"_Toc19313" </w:instrText>
      </w:r>
      <w:r>
        <w:fldChar w:fldCharType="separate"/>
      </w:r>
      <w:r>
        <w:rPr>
          <w:rFonts w:hint="eastAsia" w:ascii="楷体_GB2312" w:hAnsi="楷体_GB2312" w:eastAsia="楷体_GB2312" w:cs="楷体_GB2312"/>
          <w:sz w:val="24"/>
        </w:rPr>
        <w:t>（2）创新产教融合办学模式</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_Toc19313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"_Toc27989" </w:instrText>
      </w:r>
      <w:r>
        <w:fldChar w:fldCharType="separate"/>
      </w:r>
      <w:r>
        <w:rPr>
          <w:rFonts w:hint="eastAsia" w:ascii="楷体_GB2312" w:hAnsi="楷体_GB2312" w:eastAsia="楷体_GB2312" w:cs="楷体_GB2312"/>
          <w:sz w:val="24"/>
        </w:rPr>
        <w:t>（3）大力推进开放办学</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_Toc27989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"_Toc1983" </w:instrText>
      </w:r>
      <w:r>
        <w:fldChar w:fldCharType="separate"/>
      </w:r>
      <w:r>
        <w:rPr>
          <w:rFonts w:hint="eastAsia" w:ascii="楷体_GB2312" w:hAnsi="楷体_GB2312" w:eastAsia="楷体_GB2312" w:cs="楷体_GB2312"/>
          <w:sz w:val="24"/>
        </w:rPr>
        <w:t>6.2 坚持特色与创新，专业群建设取得新突破</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_Toc1983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"_Toc25524" </w:instrText>
      </w:r>
      <w:r>
        <w:fldChar w:fldCharType="separate"/>
      </w:r>
      <w:r>
        <w:rPr>
          <w:rFonts w:hint="eastAsia" w:ascii="楷体_GB2312" w:hAnsi="楷体_GB2312" w:eastAsia="楷体_GB2312" w:cs="楷体_GB2312"/>
          <w:sz w:val="24"/>
        </w:rPr>
        <w:t>（1）完善专业动态调整机制</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_Toc25524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"_Toc3048" </w:instrText>
      </w:r>
      <w:r>
        <w:fldChar w:fldCharType="separate"/>
      </w:r>
      <w:r>
        <w:rPr>
          <w:rFonts w:hint="eastAsia" w:ascii="楷体_GB2312" w:hAnsi="楷体_GB2312" w:eastAsia="楷体_GB2312" w:cs="楷体_GB2312"/>
          <w:sz w:val="24"/>
        </w:rPr>
        <w:t>（2）调整优化专业结构</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_Toc3048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"_Toc26109" </w:instrText>
      </w:r>
      <w:r>
        <w:fldChar w:fldCharType="separate"/>
      </w:r>
      <w:r>
        <w:rPr>
          <w:rFonts w:hint="eastAsia" w:ascii="楷体_GB2312" w:hAnsi="楷体_GB2312" w:eastAsia="楷体_GB2312" w:cs="楷体_GB2312"/>
          <w:sz w:val="24"/>
        </w:rPr>
        <w:t>（3）高标准建设对接现场紧密的生产性实训基地</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_Toc26109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"_Toc2779" </w:instrText>
      </w:r>
      <w:r>
        <w:fldChar w:fldCharType="separate"/>
      </w:r>
      <w:r>
        <w:rPr>
          <w:rFonts w:hint="eastAsia" w:ascii="楷体_GB2312" w:hAnsi="楷体_GB2312" w:eastAsia="楷体_GB2312" w:cs="楷体_GB2312"/>
          <w:sz w:val="24"/>
        </w:rPr>
        <w:t>6.3 坚持固本强基，师资队伍建设获得新成就</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_Toc2779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"_Toc16731" </w:instrText>
      </w:r>
      <w:r>
        <w:fldChar w:fldCharType="separate"/>
      </w:r>
      <w:r>
        <w:rPr>
          <w:rFonts w:hint="eastAsia" w:ascii="楷体_GB2312" w:hAnsi="楷体_GB2312" w:eastAsia="楷体_GB2312" w:cs="楷体_GB2312"/>
          <w:sz w:val="24"/>
        </w:rPr>
        <w:t>（1）完善教师队伍建设长效机制</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_Toc16731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"_Toc13119" </w:instrText>
      </w:r>
      <w:r>
        <w:fldChar w:fldCharType="separate"/>
      </w:r>
      <w:r>
        <w:rPr>
          <w:rFonts w:hint="eastAsia" w:ascii="楷体_GB2312" w:hAnsi="楷体_GB2312" w:eastAsia="楷体_GB2312" w:cs="楷体_GB2312"/>
          <w:sz w:val="24"/>
        </w:rPr>
        <w:t>（2）实施“拔尖创新人才支持计划”</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_Toc13119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"_Toc20314" </w:instrText>
      </w:r>
      <w:r>
        <w:fldChar w:fldCharType="separate"/>
      </w:r>
      <w:r>
        <w:rPr>
          <w:rFonts w:hint="eastAsia" w:ascii="楷体_GB2312" w:hAnsi="楷体_GB2312" w:eastAsia="楷体_GB2312" w:cs="楷体_GB2312"/>
          <w:sz w:val="24"/>
        </w:rPr>
        <w:t>（3）加强了教学团队建设</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_Toc20314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"_Toc20458" </w:instrText>
      </w:r>
      <w:r>
        <w:fldChar w:fldCharType="separate"/>
      </w:r>
      <w:r>
        <w:rPr>
          <w:rFonts w:hint="eastAsia" w:ascii="楷体_GB2312" w:hAnsi="楷体_GB2312" w:eastAsia="楷体_GB2312" w:cs="楷体_GB2312"/>
          <w:sz w:val="24"/>
        </w:rPr>
        <w:t>6.4 完善治理体系，治理能力迈上新台阶</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_Toc20458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"_Toc4357" </w:instrText>
      </w:r>
      <w:r>
        <w:fldChar w:fldCharType="separate"/>
      </w:r>
      <w:r>
        <w:rPr>
          <w:rFonts w:hint="eastAsia" w:ascii="楷体_GB2312" w:hAnsi="楷体_GB2312" w:eastAsia="楷体_GB2312" w:cs="楷体_GB2312"/>
          <w:sz w:val="24"/>
        </w:rPr>
        <w:t>（1）完善治理结构</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_Toc4357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"_Toc258" </w:instrText>
      </w:r>
      <w:r>
        <w:fldChar w:fldCharType="separate"/>
      </w:r>
      <w:r>
        <w:rPr>
          <w:rFonts w:hint="eastAsia" w:ascii="楷体_GB2312" w:hAnsi="楷体_GB2312" w:eastAsia="楷体_GB2312" w:cs="楷体_GB2312"/>
          <w:sz w:val="24"/>
        </w:rPr>
        <w:t>（2）加强制度机制建设</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_Toc258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"_Toc25615" </w:instrText>
      </w:r>
      <w:r>
        <w:fldChar w:fldCharType="separate"/>
      </w:r>
      <w:r>
        <w:rPr>
          <w:rFonts w:hint="eastAsia" w:ascii="楷体_GB2312" w:hAnsi="楷体_GB2312" w:eastAsia="楷体_GB2312" w:cs="楷体_GB2312"/>
          <w:sz w:val="24"/>
        </w:rPr>
        <w:t>（3）加强校园综合治理</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_Toc25615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1"/>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"_Toc31497" </w:instrText>
      </w:r>
      <w:r>
        <w:fldChar w:fldCharType="separate"/>
      </w:r>
      <w:r>
        <w:rPr>
          <w:rFonts w:hint="eastAsia" w:ascii="楷体_GB2312" w:hAnsi="楷体_GB2312" w:eastAsia="楷体_GB2312" w:cs="楷体_GB2312"/>
          <w:sz w:val="24"/>
        </w:rPr>
        <w:t>7服务与贡献</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_Toc31497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"_Toc10789" </w:instrText>
      </w:r>
      <w:r>
        <w:fldChar w:fldCharType="separate"/>
      </w:r>
      <w:r>
        <w:rPr>
          <w:rFonts w:hint="eastAsia" w:ascii="楷体_GB2312" w:hAnsi="楷体_GB2312" w:eastAsia="楷体_GB2312" w:cs="楷体_GB2312"/>
          <w:sz w:val="24"/>
        </w:rPr>
        <w:t>7.1 服务贡献度</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_Toc10789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"_Toc25447" </w:instrText>
      </w:r>
      <w:r>
        <w:fldChar w:fldCharType="separate"/>
      </w:r>
      <w:r>
        <w:rPr>
          <w:rFonts w:hint="eastAsia" w:ascii="楷体_GB2312" w:hAnsi="楷体_GB2312" w:eastAsia="楷体_GB2312" w:cs="楷体_GB2312"/>
          <w:sz w:val="24"/>
        </w:rPr>
        <w:t>（1）服务企业发展的高素质技术技能人才培养工作成效突出</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_Toc25447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"_Toc15314" </w:instrText>
      </w:r>
      <w:r>
        <w:fldChar w:fldCharType="separate"/>
      </w:r>
      <w:r>
        <w:rPr>
          <w:rFonts w:hint="eastAsia" w:ascii="楷体_GB2312" w:hAnsi="楷体_GB2312" w:eastAsia="楷体_GB2312" w:cs="楷体_GB2312"/>
          <w:sz w:val="24"/>
        </w:rPr>
        <w:t>（2）服务企业发展的项目合作不断开创新局面</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_Toc15314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"_Toc24112" </w:instrText>
      </w:r>
      <w:r>
        <w:fldChar w:fldCharType="separate"/>
      </w:r>
      <w:r>
        <w:rPr>
          <w:rFonts w:hint="eastAsia" w:ascii="楷体_GB2312" w:hAnsi="楷体_GB2312" w:eastAsia="楷体_GB2312" w:cs="楷体_GB2312"/>
          <w:sz w:val="24"/>
        </w:rPr>
        <w:t>（3）服务社区的能力建设越上新的台阶</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_Toc24112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64</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"_Toc2983" </w:instrText>
      </w:r>
      <w:r>
        <w:fldChar w:fldCharType="separate"/>
      </w:r>
      <w:r>
        <w:rPr>
          <w:rFonts w:hint="eastAsia" w:ascii="楷体_GB2312" w:hAnsi="楷体_GB2312" w:eastAsia="楷体_GB2312" w:cs="楷体_GB2312"/>
          <w:sz w:val="24"/>
        </w:rPr>
        <w:t>7.2 服务湖南“1274”行动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_Toc2983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"_Toc16188" </w:instrText>
      </w:r>
      <w:r>
        <w:fldChar w:fldCharType="separate"/>
      </w:r>
      <w:r>
        <w:rPr>
          <w:rFonts w:hint="eastAsia" w:ascii="楷体_GB2312" w:hAnsi="楷体_GB2312" w:eastAsia="楷体_GB2312" w:cs="楷体_GB2312"/>
          <w:sz w:val="24"/>
        </w:rPr>
        <w:t>7.3 服务“一带一路”战略</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_Toc16188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"_Toc17284" </w:instrText>
      </w:r>
      <w:r>
        <w:fldChar w:fldCharType="separate"/>
      </w:r>
      <w:r>
        <w:rPr>
          <w:rFonts w:hint="eastAsia" w:ascii="楷体_GB2312" w:hAnsi="楷体_GB2312" w:eastAsia="楷体_GB2312" w:cs="楷体_GB2312"/>
          <w:sz w:val="24"/>
        </w:rPr>
        <w:t>【典型案例24】泰国职业教育代表团应邀来我校交流考察</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_Toc17284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"_Toc8387" </w:instrText>
      </w:r>
      <w:r>
        <w:fldChar w:fldCharType="separate"/>
      </w:r>
      <w:r>
        <w:rPr>
          <w:rFonts w:hint="eastAsia" w:ascii="楷体_GB2312" w:hAnsi="楷体_GB2312" w:eastAsia="楷体_GB2312" w:cs="楷体_GB2312"/>
          <w:sz w:val="24"/>
        </w:rPr>
        <w:t>【典型案例25】埃塞俄比亚最大的化工项目来校洽谈员工培训</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_Toc8387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68</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"_Toc13616" </w:instrText>
      </w:r>
      <w:r>
        <w:fldChar w:fldCharType="separate"/>
      </w:r>
      <w:r>
        <w:rPr>
          <w:rFonts w:hint="eastAsia" w:ascii="楷体_GB2312" w:hAnsi="楷体_GB2312" w:eastAsia="楷体_GB2312" w:cs="楷体_GB2312"/>
          <w:sz w:val="24"/>
        </w:rPr>
        <w:t>7.4 服务企业</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_Toc13616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69</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"_Toc29726" </w:instrText>
      </w:r>
      <w:r>
        <w:fldChar w:fldCharType="separate"/>
      </w:r>
      <w:r>
        <w:rPr>
          <w:rFonts w:hint="eastAsia" w:ascii="楷体_GB2312" w:hAnsi="楷体_GB2312" w:eastAsia="楷体_GB2312" w:cs="楷体_GB2312"/>
          <w:sz w:val="24"/>
        </w:rPr>
        <w:t>（1）服务本行业、本地区的高素质技术技能人才支撑</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_Toc29726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69</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"_Toc161" </w:instrText>
      </w:r>
      <w:r>
        <w:fldChar w:fldCharType="separate"/>
      </w:r>
      <w:r>
        <w:rPr>
          <w:rFonts w:hint="eastAsia" w:ascii="楷体_GB2312" w:hAnsi="楷体_GB2312" w:eastAsia="楷体_GB2312" w:cs="楷体_GB2312"/>
          <w:sz w:val="24"/>
        </w:rPr>
        <w:t>（2）助力企业发展的应用技术研发与服务</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_Toc161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70</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"_Toc1379" </w:instrText>
      </w:r>
      <w:r>
        <w:fldChar w:fldCharType="separate"/>
      </w:r>
      <w:r>
        <w:rPr>
          <w:rFonts w:hint="eastAsia" w:ascii="楷体_GB2312" w:hAnsi="楷体_GB2312" w:eastAsia="楷体_GB2312" w:cs="楷体_GB2312"/>
          <w:sz w:val="24"/>
        </w:rPr>
        <w:t>7.5 精准扶贫</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_Toc1379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"_Toc9640" </w:instrText>
      </w:r>
      <w:r>
        <w:fldChar w:fldCharType="separate"/>
      </w:r>
      <w:r>
        <w:rPr>
          <w:rFonts w:hint="eastAsia" w:ascii="楷体_GB2312" w:hAnsi="楷体_GB2312" w:eastAsia="楷体_GB2312" w:cs="楷体_GB2312"/>
          <w:sz w:val="24"/>
        </w:rPr>
        <w:t>（1）实施基础扶贫，打造“造血式”大环境</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_Toc9640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"_Toc28908" </w:instrText>
      </w:r>
      <w:r>
        <w:fldChar w:fldCharType="separate"/>
      </w:r>
      <w:r>
        <w:rPr>
          <w:rFonts w:hint="eastAsia" w:ascii="楷体_GB2312" w:hAnsi="楷体_GB2312" w:eastAsia="楷体_GB2312" w:cs="楷体_GB2312"/>
          <w:sz w:val="24"/>
        </w:rPr>
        <w:t>（2）实施产业扶贫，培育增收内生动力</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_Toc28908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"_Toc9179" </w:instrText>
      </w:r>
      <w:r>
        <w:fldChar w:fldCharType="separate"/>
      </w:r>
      <w:r>
        <w:rPr>
          <w:rFonts w:hint="eastAsia" w:ascii="楷体_GB2312" w:hAnsi="楷体_GB2312" w:eastAsia="楷体_GB2312" w:cs="楷体_GB2312"/>
          <w:sz w:val="24"/>
        </w:rPr>
        <w:t>（3）实施教育扶贫，提升就业创业能力</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_Toc9179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"_Toc16906" </w:instrText>
      </w:r>
      <w:r>
        <w:fldChar w:fldCharType="separate"/>
      </w:r>
      <w:r>
        <w:rPr>
          <w:rFonts w:hint="eastAsia" w:ascii="楷体_GB2312" w:hAnsi="楷体_GB2312" w:eastAsia="楷体_GB2312" w:cs="楷体_GB2312"/>
          <w:sz w:val="24"/>
        </w:rPr>
        <w:t>【典型案例26】郑重的承诺：不能落下一个真正贫困的学生</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_Toc16906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72</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1"/>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"_Toc8950" </w:instrText>
      </w:r>
      <w:r>
        <w:fldChar w:fldCharType="separate"/>
      </w:r>
      <w:r>
        <w:rPr>
          <w:rFonts w:hint="eastAsia" w:ascii="楷体_GB2312" w:hAnsi="楷体_GB2312" w:eastAsia="楷体_GB2312" w:cs="楷体_GB2312"/>
          <w:sz w:val="24"/>
        </w:rPr>
        <w:t>8 问题与挑战</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_Toc8950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"_Toc27771" </w:instrText>
      </w:r>
      <w:r>
        <w:fldChar w:fldCharType="separate"/>
      </w:r>
      <w:r>
        <w:rPr>
          <w:rFonts w:hint="eastAsia" w:ascii="楷体_GB2312" w:hAnsi="楷体_GB2312" w:eastAsia="楷体_GB2312" w:cs="楷体_GB2312"/>
          <w:sz w:val="24"/>
        </w:rPr>
        <w:t>8.1 学院发展面临的主要问题</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_Toc27771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"_Toc12034" </w:instrText>
      </w:r>
      <w:r>
        <w:fldChar w:fldCharType="separate"/>
      </w:r>
      <w:r>
        <w:rPr>
          <w:rFonts w:hint="eastAsia" w:ascii="楷体_GB2312" w:hAnsi="楷体_GB2312" w:eastAsia="楷体_GB2312" w:cs="楷体_GB2312"/>
          <w:sz w:val="24"/>
        </w:rPr>
        <w:t>（1）校企合作、产教融合长效机制尚不健全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_Toc12034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"_Toc7767" </w:instrText>
      </w:r>
      <w:r>
        <w:fldChar w:fldCharType="separate"/>
      </w:r>
      <w:r>
        <w:rPr>
          <w:rFonts w:hint="eastAsia" w:ascii="楷体_GB2312" w:hAnsi="楷体_GB2312" w:eastAsia="楷体_GB2312" w:cs="楷体_GB2312"/>
          <w:sz w:val="24"/>
        </w:rPr>
        <w:t>（2）领军人才引进培养和教师应用技术研发服务能力还有一定差距</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_Toc7767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7"/>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"_Toc12042" </w:instrText>
      </w:r>
      <w:r>
        <w:fldChar w:fldCharType="separate"/>
      </w:r>
      <w:r>
        <w:rPr>
          <w:rFonts w:hint="eastAsia" w:ascii="楷体_GB2312" w:hAnsi="楷体_GB2312" w:eastAsia="楷体_GB2312" w:cs="楷体_GB2312"/>
          <w:sz w:val="24"/>
        </w:rPr>
        <w:t>（3）治理运行机制需进一步完善</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_Toc12042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"_Toc5771" </w:instrText>
      </w:r>
      <w:r>
        <w:fldChar w:fldCharType="separate"/>
      </w:r>
      <w:r>
        <w:rPr>
          <w:rFonts w:hint="eastAsia" w:ascii="楷体_GB2312" w:hAnsi="楷体_GB2312" w:eastAsia="楷体_GB2312" w:cs="楷体_GB2312"/>
          <w:sz w:val="24"/>
        </w:rPr>
        <w:t>8.2 工作展望</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_Toc5771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73</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1"/>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"_Toc12839" </w:instrText>
      </w:r>
      <w:r>
        <w:fldChar w:fldCharType="separate"/>
      </w:r>
      <w:r>
        <w:rPr>
          <w:rFonts w:hint="eastAsia" w:ascii="楷体_GB2312" w:hAnsi="楷体_GB2312" w:eastAsia="楷体_GB2312" w:cs="楷体_GB2312"/>
          <w:sz w:val="24"/>
        </w:rPr>
        <w:t>附  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_Toc12839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"_Toc19494" </w:instrText>
      </w:r>
      <w:r>
        <w:fldChar w:fldCharType="separate"/>
      </w:r>
      <w:r>
        <w:rPr>
          <w:rFonts w:hint="eastAsia" w:ascii="楷体_GB2312" w:hAnsi="楷体_GB2312" w:eastAsia="楷体_GB2312" w:cs="楷体_GB2312"/>
          <w:sz w:val="24"/>
        </w:rPr>
        <w:t>表1 计分卡</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_Toc19494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75</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"_Toc20001" </w:instrText>
      </w:r>
      <w:r>
        <w:fldChar w:fldCharType="separate"/>
      </w:r>
      <w:r>
        <w:rPr>
          <w:rFonts w:hint="eastAsia" w:ascii="楷体_GB2312" w:hAnsi="楷体_GB2312" w:eastAsia="楷体_GB2312" w:cs="楷体_GB2312"/>
          <w:sz w:val="24"/>
        </w:rPr>
        <w:t>表2 资源表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_Toc20001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76</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"_Toc21754" </w:instrText>
      </w:r>
      <w:r>
        <w:fldChar w:fldCharType="separate"/>
      </w:r>
      <w:r>
        <w:rPr>
          <w:rFonts w:hint="eastAsia" w:ascii="楷体_GB2312" w:hAnsi="楷体_GB2312" w:eastAsia="楷体_GB2312" w:cs="楷体_GB2312"/>
          <w:sz w:val="24"/>
        </w:rPr>
        <w:t>表3 国际影响表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_Toc21754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77</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"_Toc25601" </w:instrText>
      </w:r>
      <w:r>
        <w:fldChar w:fldCharType="separate"/>
      </w:r>
      <w:r>
        <w:rPr>
          <w:rFonts w:hint="eastAsia" w:ascii="楷体_GB2312" w:hAnsi="楷体_GB2312" w:eastAsia="楷体_GB2312" w:cs="楷体_GB2312"/>
          <w:sz w:val="24"/>
        </w:rPr>
        <w:t>表4 服务贡献表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_Toc25601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78</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"_Toc11876" </w:instrText>
      </w:r>
      <w:r>
        <w:fldChar w:fldCharType="separate"/>
      </w:r>
      <w:r>
        <w:rPr>
          <w:rFonts w:hint="eastAsia" w:ascii="楷体_GB2312" w:hAnsi="楷体_GB2312" w:eastAsia="楷体_GB2312" w:cs="楷体_GB2312"/>
          <w:sz w:val="24"/>
        </w:rPr>
        <w:t>表5 落实政策表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_Toc11876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79</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pStyle w:val="12"/>
        <w:tabs>
          <w:tab w:val="right" w:leader="dot" w:pos="8306"/>
        </w:tabs>
        <w:adjustRightInd w:val="0"/>
        <w:snapToGrid w:val="0"/>
        <w:spacing w:line="288" w:lineRule="auto"/>
        <w:rPr>
          <w:rFonts w:ascii="楷体_GB2312" w:hAnsi="楷体_GB2312" w:eastAsia="楷体_GB2312" w:cs="楷体_GB2312"/>
          <w:sz w:val="24"/>
        </w:rPr>
      </w:pPr>
      <w:r>
        <w:fldChar w:fldCharType="begin"/>
      </w:r>
      <w:r>
        <w:instrText xml:space="preserve"> HYPERLINK \l "_Toc580" </w:instrText>
      </w:r>
      <w:r>
        <w:fldChar w:fldCharType="separate"/>
      </w:r>
      <w:r>
        <w:rPr>
          <w:rFonts w:hint="eastAsia" w:ascii="楷体_GB2312" w:hAnsi="楷体_GB2312" w:eastAsia="楷体_GB2312" w:cs="楷体_GB2312"/>
          <w:sz w:val="24"/>
        </w:rPr>
        <w:t>表6 相关数据表</w:t>
      </w:r>
      <w:r>
        <w:rPr>
          <w:rFonts w:hint="eastAsia" w:ascii="楷体_GB2312" w:hAnsi="楷体_GB2312" w:eastAsia="楷体_GB2312" w:cs="楷体_GB2312"/>
          <w:sz w:val="24"/>
        </w:rPr>
        <w:tab/>
      </w:r>
      <w:r>
        <w:rPr>
          <w:rFonts w:hint="eastAsia" w:ascii="楷体_GB2312" w:hAnsi="楷体_GB2312" w:eastAsia="楷体_GB2312" w:cs="楷体_GB2312"/>
          <w:sz w:val="24"/>
        </w:rPr>
        <w:fldChar w:fldCharType="begin"/>
      </w:r>
      <w:r>
        <w:rPr>
          <w:rFonts w:hint="eastAsia" w:ascii="楷体_GB2312" w:hAnsi="楷体_GB2312" w:eastAsia="楷体_GB2312" w:cs="楷体_GB2312"/>
          <w:sz w:val="24"/>
        </w:rPr>
        <w:instrText xml:space="preserve"> PAGEREF _Toc580 </w:instrText>
      </w:r>
      <w:r>
        <w:rPr>
          <w:rFonts w:hint="eastAsia" w:ascii="楷体_GB2312" w:hAnsi="楷体_GB2312" w:eastAsia="楷体_GB2312" w:cs="楷体_GB2312"/>
          <w:sz w:val="24"/>
        </w:rPr>
        <w:fldChar w:fldCharType="separate"/>
      </w:r>
      <w:r>
        <w:rPr>
          <w:rFonts w:hint="eastAsia" w:ascii="楷体_GB2312" w:hAnsi="楷体_GB2312" w:eastAsia="楷体_GB2312" w:cs="楷体_GB2312"/>
          <w:sz w:val="24"/>
        </w:rPr>
        <w:t>81</w:t>
      </w:r>
      <w:r>
        <w:rPr>
          <w:rFonts w:hint="eastAsia" w:ascii="楷体_GB2312" w:hAnsi="楷体_GB2312" w:eastAsia="楷体_GB2312" w:cs="楷体_GB2312"/>
          <w:sz w:val="24"/>
        </w:rPr>
        <w:fldChar w:fldCharType="end"/>
      </w:r>
      <w:r>
        <w:rPr>
          <w:rFonts w:hint="eastAsia" w:ascii="楷体_GB2312" w:hAnsi="楷体_GB2312" w:eastAsia="楷体_GB2312" w:cs="楷体_GB2312"/>
          <w:sz w:val="24"/>
        </w:rPr>
        <w:fldChar w:fldCharType="end"/>
      </w:r>
    </w:p>
    <w:p>
      <w:pPr>
        <w:adjustRightInd w:val="0"/>
        <w:snapToGrid w:val="0"/>
        <w:spacing w:line="288" w:lineRule="auto"/>
        <w:jc w:val="center"/>
        <w:rPr>
          <w:rFonts w:asciiTheme="minorEastAsia" w:hAnsiTheme="minorEastAsia" w:cstheme="minorEastAsia"/>
          <w:b/>
          <w:bCs/>
          <w:sz w:val="28"/>
          <w:szCs w:val="28"/>
        </w:rPr>
      </w:pPr>
      <w:r>
        <w:rPr>
          <w:rFonts w:hint="eastAsia" w:ascii="楷体_GB2312" w:hAnsi="楷体_GB2312" w:eastAsia="楷体_GB2312" w:cs="楷体_GB2312"/>
          <w:bCs/>
          <w:sz w:val="24"/>
        </w:rPr>
        <w:fldChar w:fldCharType="end"/>
      </w:r>
    </w:p>
    <w:p>
      <w:pPr>
        <w:pStyle w:val="2"/>
        <w:jc w:val="both"/>
        <w:rPr>
          <w:rFonts w:hint="default"/>
        </w:rPr>
        <w:sectPr>
          <w:footerReference r:id="rId5" w:type="default"/>
          <w:pgSz w:w="11906" w:h="16838"/>
          <w:pgMar w:top="1440" w:right="1800" w:bottom="1440" w:left="1800" w:header="851" w:footer="992" w:gutter="0"/>
          <w:pgNumType w:fmt="upperRoman" w:start="1"/>
          <w:cols w:space="425" w:num="1"/>
          <w:docGrid w:type="lines" w:linePitch="312" w:charSpace="0"/>
        </w:sectPr>
      </w:pPr>
    </w:p>
    <w:p>
      <w:pPr>
        <w:pStyle w:val="2"/>
        <w:jc w:val="both"/>
        <w:rPr>
          <w:rFonts w:hint="default"/>
        </w:rPr>
      </w:pPr>
      <w:bookmarkStart w:id="2" w:name="_Toc25108"/>
      <w:r>
        <w:t>1 基本情况</w:t>
      </w:r>
      <w:bookmarkEnd w:id="2"/>
    </w:p>
    <w:p>
      <w:pPr>
        <w:pStyle w:val="3"/>
      </w:pPr>
      <w:bookmarkStart w:id="3" w:name="_Toc28654"/>
      <w:bookmarkStart w:id="4" w:name="_Toc4602"/>
      <w:r>
        <w:rPr>
          <w:rFonts w:hint="eastAsia"/>
        </w:rPr>
        <w:t>1.1 办学基本条件</w:t>
      </w:r>
      <w:bookmarkEnd w:id="3"/>
      <w:bookmarkEnd w:id="4"/>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学院创建于1958年，2003年4月，经湖南省人民政府批准，学院升格为高职学院。2010年3月，与湖南化工机械学院(湖南工业高级技工学院)合并。2007年通过了湖南省党建工作评估，2008年通过了教育部人才培养工作水平优秀评估，2010年通过了湖南省文明高校评估，2013年被评为湖南省首批大学生就业创业示范校，2014年先后立项湖南省平安高校建设单位和湖南省教育信息化试点学院，2015年立项湖南省教育信息化创新应用示范校，2015年湖南省示范性(骨干)高职院校建设项目验收获得优秀等级，2016年，学院被省教育厅立项为湖南省卓越高职院校建设单位。2010年、2012年、2014年、2016年连续四次获评湖南省就业工作“一把手工程”优秀单位并荣膺湖南省优秀就业创业示范校。</w:t>
      </w:r>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学院设有化学工程学院、制药与生物工程学院、机电工程学院、商学院、自动化与信息工程学院等5个二级学院和基础课部、思想政治课部、技工部3个教学部。占地面积67.92万m</w:t>
      </w:r>
      <w:r>
        <w:rPr>
          <w:rFonts w:hint="eastAsia" w:asciiTheme="minorEastAsia" w:hAnsiTheme="minorEastAsia" w:cstheme="minorEastAsia"/>
          <w:sz w:val="24"/>
          <w:vertAlign w:val="superscript"/>
        </w:rPr>
        <w:t>2</w:t>
      </w:r>
      <w:r>
        <w:rPr>
          <w:rFonts w:hint="eastAsia" w:asciiTheme="minorEastAsia" w:hAnsiTheme="minorEastAsia" w:cstheme="minorEastAsia"/>
          <w:sz w:val="24"/>
        </w:rPr>
        <w:t>，拥有校内实验实训室130个，生产性实训车间（中心）5个，多媒体教室126间，教学用计算机2580台，馆藏图书68万册，电子图书24TB。其中学院2017年行政用房使用情况如图1-1所示。</w:t>
      </w:r>
    </w:p>
    <w:p>
      <w:pPr>
        <w:widowControl/>
        <w:adjustRightInd w:val="0"/>
        <w:snapToGrid w:val="0"/>
        <w:spacing w:line="360" w:lineRule="auto"/>
        <w:ind w:left="-359" w:leftChars="-171"/>
        <w:jc w:val="center"/>
        <w:rPr>
          <w:rFonts w:ascii="宋体" w:hAnsi="宋体" w:cs="宋体"/>
          <w:kern w:val="0"/>
          <w:sz w:val="24"/>
        </w:rPr>
      </w:pPr>
      <w:r>
        <w:rPr>
          <w:rFonts w:hint="eastAsia" w:ascii="宋体" w:hAnsi="宋体" w:cs="宋体"/>
          <w:kern w:val="0"/>
          <w:sz w:val="24"/>
        </w:rPr>
        <w:drawing>
          <wp:inline distT="0" distB="0" distL="114300" distR="114300">
            <wp:extent cx="4010660" cy="2682240"/>
            <wp:effectExtent l="0" t="0" r="8890" b="3810"/>
            <wp:docPr id="3" name="图片 3" descr="QQ截图201712061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71206100355"/>
                    <pic:cNvPicPr>
                      <a:picLocks noChangeAspect="1"/>
                    </pic:cNvPicPr>
                  </pic:nvPicPr>
                  <pic:blipFill>
                    <a:blip r:embed="rId10"/>
                    <a:srcRect l="13954" r="11916"/>
                    <a:stretch>
                      <a:fillRect/>
                    </a:stretch>
                  </pic:blipFill>
                  <pic:spPr>
                    <a:xfrm>
                      <a:off x="0" y="0"/>
                      <a:ext cx="4010660" cy="2682240"/>
                    </a:xfrm>
                    <a:prstGeom prst="rect">
                      <a:avLst/>
                    </a:prstGeom>
                  </pic:spPr>
                </pic:pic>
              </a:graphicData>
            </a:graphic>
          </wp:inline>
        </w:drawing>
      </w:r>
    </w:p>
    <w:p>
      <w:pPr>
        <w:adjustRightInd w:val="0"/>
        <w:snapToGrid w:val="0"/>
        <w:jc w:val="center"/>
        <w:rPr>
          <w:rFonts w:ascii="宋体" w:hAnsi="宋体"/>
          <w:b/>
          <w:szCs w:val="21"/>
        </w:rPr>
      </w:pPr>
      <w:r>
        <w:rPr>
          <w:rFonts w:hint="eastAsia" w:ascii="宋体" w:hAnsi="宋体"/>
          <w:b/>
          <w:szCs w:val="21"/>
        </w:rPr>
        <w:t>图1-1 学院2017年教学行政用房情况示意图</w:t>
      </w:r>
    </w:p>
    <w:p>
      <w:pPr>
        <w:adjustRightInd w:val="0"/>
        <w:snapToGrid w:val="0"/>
        <w:ind w:firstLine="422" w:firstLineChars="200"/>
        <w:jc w:val="right"/>
        <w:rPr>
          <w:rFonts w:ascii="宋体" w:hAnsi="宋体" w:eastAsia="宋体" w:cs="Times New Roman"/>
          <w:b/>
        </w:rPr>
      </w:pPr>
      <w:r>
        <w:rPr>
          <w:rFonts w:hint="eastAsia" w:ascii="宋体" w:hAnsi="宋体" w:eastAsia="宋体" w:cs="Times New Roman"/>
          <w:b/>
        </w:rPr>
        <w:t>数据来源：全国高职院校状态数据采集与管理系统</w:t>
      </w:r>
    </w:p>
    <w:p>
      <w:pPr>
        <w:pStyle w:val="3"/>
      </w:pPr>
      <w:bookmarkStart w:id="5" w:name="_Toc18884"/>
      <w:bookmarkStart w:id="6" w:name="_Toc15752"/>
      <w:r>
        <w:rPr>
          <w:rFonts w:hint="eastAsia"/>
        </w:rPr>
        <w:t>1.2 专业设置</w:t>
      </w:r>
      <w:bookmarkEnd w:id="5"/>
      <w:bookmarkEnd w:id="6"/>
    </w:p>
    <w:p>
      <w:pPr>
        <w:pStyle w:val="4"/>
        <w:spacing w:before="156" w:after="156"/>
        <w:ind w:firstLine="562"/>
        <w:rPr>
          <w:color w:val="auto"/>
        </w:rPr>
      </w:pPr>
      <w:bookmarkStart w:id="7" w:name="_Toc20706"/>
      <w:bookmarkStart w:id="8" w:name="_Toc20939"/>
      <w:r>
        <w:rPr>
          <w:rFonts w:hint="eastAsia"/>
          <w:color w:val="auto"/>
        </w:rPr>
        <w:t>（1）特色专业体系构建</w:t>
      </w:r>
      <w:bookmarkEnd w:id="7"/>
      <w:bookmarkEnd w:id="8"/>
    </w:p>
    <w:p>
      <w:pPr>
        <w:adjustRightInd w:val="0"/>
        <w:snapToGrid w:val="0"/>
        <w:spacing w:line="360" w:lineRule="auto"/>
        <w:ind w:firstLine="480" w:firstLineChars="200"/>
        <w:rPr>
          <w:rFonts w:ascii="宋体" w:hAnsi="宋体"/>
          <w:sz w:val="24"/>
        </w:rPr>
      </w:pPr>
      <w:r>
        <w:rPr>
          <w:rFonts w:hint="eastAsia" w:asciiTheme="minorEastAsia" w:hAnsiTheme="minorEastAsia" w:cstheme="minorEastAsia"/>
          <w:sz w:val="24"/>
        </w:rPr>
        <w:t>学院依托湖南省第二大基础、优势和支柱产业——石化产业办学，根据专业群建设特点和规律，强化政府、行业、企业、学院四方联动，对接石化产业及创新创业园区，着力构建政府统筹、区校协调、校企合作、多元发展的长效机制。完善了对准产业结构变化调整专业设置，对准生产岗位变化调整课程内容的“两对准、两调整”的专业动态调整机制，构建了以化工生产技术和化学与生物制药技术专业群为核心，以化工自动化技术、化工装备制造技术和化工生产运营与管理专业群为环绕服务的专业集群（见表1-1）。形成了省级示范特色专业群和校内骨干专业群相互支撑、协调发展的格局。</w:t>
      </w:r>
    </w:p>
    <w:p>
      <w:pPr>
        <w:jc w:val="center"/>
        <w:rPr>
          <w:rFonts w:ascii="宋体" w:hAnsi="宋体"/>
          <w:b/>
          <w:szCs w:val="21"/>
        </w:rPr>
      </w:pPr>
      <w:r>
        <w:rPr>
          <w:rFonts w:hint="eastAsia" w:ascii="宋体" w:hAnsi="宋体"/>
          <w:b/>
          <w:szCs w:val="21"/>
        </w:rPr>
        <w:t>表1-1 学院专业群建设规划一览表</w:t>
      </w:r>
    </w:p>
    <w:tbl>
      <w:tblPr>
        <w:tblStyle w:val="18"/>
        <w:tblW w:w="9274" w:type="dxa"/>
        <w:jc w:val="center"/>
        <w:tblInd w:w="-382"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35"/>
        <w:gridCol w:w="938"/>
        <w:gridCol w:w="1364"/>
        <w:gridCol w:w="1336"/>
        <w:gridCol w:w="7"/>
        <w:gridCol w:w="2762"/>
        <w:gridCol w:w="183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tblHeader/>
          <w:jc w:val="center"/>
        </w:trPr>
        <w:tc>
          <w:tcPr>
            <w:tcW w:w="1973" w:type="dxa"/>
            <w:gridSpan w:val="2"/>
            <w:vMerge w:val="restart"/>
            <w:shd w:val="clear" w:color="auto" w:fill="FF6600"/>
            <w:vAlign w:val="center"/>
          </w:tcPr>
          <w:p>
            <w:pPr>
              <w:widowControl/>
              <w:snapToGrid w:val="0"/>
              <w:jc w:val="center"/>
              <w:rPr>
                <w:rFonts w:ascii="宋体" w:hAnsi="宋体"/>
                <w:b/>
                <w:bCs/>
                <w:color w:val="000000"/>
                <w:kern w:val="0"/>
                <w:sz w:val="22"/>
              </w:rPr>
            </w:pPr>
            <w:r>
              <w:rPr>
                <w:rFonts w:ascii="宋体" w:hAnsi="宋体"/>
                <w:b/>
                <w:bCs/>
                <w:color w:val="000000"/>
                <w:kern w:val="0"/>
                <w:sz w:val="22"/>
              </w:rPr>
              <w:t>专业群</w:t>
            </w:r>
          </w:p>
          <w:p>
            <w:pPr>
              <w:widowControl/>
              <w:snapToGrid w:val="0"/>
              <w:jc w:val="center"/>
              <w:rPr>
                <w:rFonts w:ascii="宋体" w:hAnsi="宋体"/>
                <w:b/>
                <w:bCs/>
                <w:color w:val="000000"/>
                <w:kern w:val="0"/>
                <w:sz w:val="22"/>
              </w:rPr>
            </w:pPr>
            <w:r>
              <w:rPr>
                <w:rFonts w:ascii="宋体" w:hAnsi="宋体"/>
                <w:b/>
                <w:bCs/>
                <w:color w:val="000000"/>
                <w:kern w:val="0"/>
                <w:sz w:val="22"/>
              </w:rPr>
              <w:t>名称</w:t>
            </w:r>
          </w:p>
        </w:tc>
        <w:tc>
          <w:tcPr>
            <w:tcW w:w="5469" w:type="dxa"/>
            <w:gridSpan w:val="4"/>
            <w:shd w:val="clear" w:color="auto" w:fill="FF6600"/>
            <w:vAlign w:val="center"/>
          </w:tcPr>
          <w:p>
            <w:pPr>
              <w:widowControl/>
              <w:snapToGrid w:val="0"/>
              <w:jc w:val="center"/>
              <w:rPr>
                <w:rFonts w:ascii="宋体" w:hAnsi="宋体"/>
                <w:b/>
                <w:bCs/>
                <w:color w:val="000000"/>
                <w:kern w:val="0"/>
                <w:sz w:val="22"/>
              </w:rPr>
            </w:pPr>
            <w:r>
              <w:rPr>
                <w:rFonts w:ascii="宋体" w:hAnsi="宋体"/>
                <w:b/>
                <w:bCs/>
                <w:color w:val="000000"/>
                <w:kern w:val="0"/>
                <w:sz w:val="22"/>
              </w:rPr>
              <w:t>群内专业</w:t>
            </w:r>
          </w:p>
        </w:tc>
        <w:tc>
          <w:tcPr>
            <w:tcW w:w="1832" w:type="dxa"/>
            <w:vMerge w:val="restart"/>
            <w:shd w:val="clear" w:color="auto" w:fill="FF6600"/>
            <w:vAlign w:val="center"/>
          </w:tcPr>
          <w:p>
            <w:pPr>
              <w:widowControl/>
              <w:snapToGrid w:val="0"/>
              <w:jc w:val="center"/>
              <w:rPr>
                <w:rFonts w:ascii="宋体" w:hAnsi="宋体"/>
                <w:b/>
                <w:bCs/>
                <w:color w:val="000000"/>
                <w:kern w:val="0"/>
                <w:sz w:val="22"/>
              </w:rPr>
            </w:pPr>
            <w:r>
              <w:rPr>
                <w:rFonts w:ascii="宋体" w:hAnsi="宋体"/>
                <w:b/>
                <w:bCs/>
                <w:color w:val="000000"/>
                <w:kern w:val="0"/>
                <w:sz w:val="22"/>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tblHeader/>
          <w:jc w:val="center"/>
        </w:trPr>
        <w:tc>
          <w:tcPr>
            <w:tcW w:w="1973" w:type="dxa"/>
            <w:gridSpan w:val="2"/>
            <w:vMerge w:val="continue"/>
            <w:shd w:val="clear" w:color="auto" w:fill="FF6600"/>
          </w:tcPr>
          <w:p>
            <w:pPr>
              <w:widowControl/>
              <w:snapToGrid w:val="0"/>
              <w:jc w:val="center"/>
              <w:rPr>
                <w:rFonts w:ascii="宋体" w:hAnsi="宋体"/>
                <w:bCs/>
                <w:color w:val="000000"/>
                <w:kern w:val="0"/>
                <w:sz w:val="22"/>
              </w:rPr>
            </w:pPr>
          </w:p>
        </w:tc>
        <w:tc>
          <w:tcPr>
            <w:tcW w:w="1364" w:type="dxa"/>
            <w:shd w:val="clear" w:color="auto" w:fill="FF6600"/>
            <w:vAlign w:val="center"/>
          </w:tcPr>
          <w:p>
            <w:pPr>
              <w:widowControl/>
              <w:snapToGrid w:val="0"/>
              <w:jc w:val="center"/>
              <w:rPr>
                <w:rFonts w:ascii="宋体" w:hAnsi="宋体"/>
                <w:b/>
                <w:bCs/>
                <w:color w:val="000000"/>
                <w:kern w:val="0"/>
                <w:sz w:val="22"/>
              </w:rPr>
            </w:pPr>
            <w:r>
              <w:rPr>
                <w:rFonts w:ascii="宋体" w:hAnsi="宋体"/>
                <w:b/>
                <w:bCs/>
                <w:color w:val="000000"/>
                <w:kern w:val="0"/>
                <w:sz w:val="22"/>
              </w:rPr>
              <w:t>专业组成</w:t>
            </w:r>
          </w:p>
        </w:tc>
        <w:tc>
          <w:tcPr>
            <w:tcW w:w="1336" w:type="dxa"/>
            <w:shd w:val="clear" w:color="auto" w:fill="FF6600"/>
            <w:vAlign w:val="center"/>
          </w:tcPr>
          <w:p>
            <w:pPr>
              <w:widowControl/>
              <w:snapToGrid w:val="0"/>
              <w:jc w:val="center"/>
              <w:rPr>
                <w:rFonts w:ascii="宋体" w:hAnsi="宋体"/>
                <w:b/>
                <w:bCs/>
                <w:color w:val="000000"/>
                <w:kern w:val="0"/>
                <w:sz w:val="22"/>
              </w:rPr>
            </w:pPr>
            <w:r>
              <w:rPr>
                <w:rFonts w:ascii="宋体" w:hAnsi="宋体"/>
                <w:b/>
                <w:bCs/>
                <w:color w:val="000000"/>
                <w:kern w:val="0"/>
                <w:sz w:val="22"/>
              </w:rPr>
              <w:t>专业代码</w:t>
            </w:r>
          </w:p>
        </w:tc>
        <w:tc>
          <w:tcPr>
            <w:tcW w:w="2769" w:type="dxa"/>
            <w:gridSpan w:val="2"/>
            <w:shd w:val="clear" w:color="auto" w:fill="FF6600"/>
            <w:vAlign w:val="center"/>
          </w:tcPr>
          <w:p>
            <w:pPr>
              <w:widowControl/>
              <w:snapToGrid w:val="0"/>
              <w:jc w:val="center"/>
              <w:rPr>
                <w:rFonts w:ascii="宋体" w:hAnsi="宋体"/>
                <w:b/>
                <w:bCs/>
                <w:color w:val="000000"/>
                <w:kern w:val="0"/>
                <w:sz w:val="22"/>
              </w:rPr>
            </w:pPr>
            <w:r>
              <w:rPr>
                <w:rFonts w:ascii="宋体" w:hAnsi="宋体"/>
                <w:b/>
                <w:bCs/>
                <w:color w:val="000000"/>
                <w:kern w:val="0"/>
                <w:sz w:val="22"/>
              </w:rPr>
              <w:t>专业名称</w:t>
            </w:r>
          </w:p>
        </w:tc>
        <w:tc>
          <w:tcPr>
            <w:tcW w:w="1832" w:type="dxa"/>
            <w:vMerge w:val="continue"/>
            <w:shd w:val="clear" w:color="auto" w:fill="FF6600"/>
            <w:vAlign w:val="center"/>
          </w:tcPr>
          <w:p>
            <w:pPr>
              <w:widowControl/>
              <w:snapToGrid w:val="0"/>
              <w:jc w:val="center"/>
              <w:rPr>
                <w:rFonts w:ascii="宋体" w:hAnsi="宋体"/>
                <w:bCs/>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restart"/>
            <w:shd w:val="clear" w:color="auto" w:fill="CCFFFF"/>
            <w:vAlign w:val="center"/>
          </w:tcPr>
          <w:p>
            <w:pPr>
              <w:widowControl/>
              <w:snapToGrid w:val="0"/>
              <w:jc w:val="center"/>
              <w:rPr>
                <w:rFonts w:ascii="宋体" w:hAnsi="宋体"/>
                <w:color w:val="000000"/>
                <w:kern w:val="0"/>
                <w:szCs w:val="21"/>
              </w:rPr>
            </w:pPr>
            <w:r>
              <w:rPr>
                <w:rFonts w:ascii="宋体" w:hAnsi="宋体"/>
                <w:color w:val="000000"/>
                <w:kern w:val="0"/>
                <w:szCs w:val="21"/>
              </w:rPr>
              <w:t>重点建设专业群</w:t>
            </w:r>
            <w:r>
              <w:rPr>
                <w:rFonts w:hint="eastAsia" w:ascii="宋体" w:hAnsi="宋体"/>
                <w:color w:val="000000"/>
                <w:kern w:val="0"/>
                <w:szCs w:val="21"/>
              </w:rPr>
              <w:t>1</w:t>
            </w:r>
          </w:p>
        </w:tc>
        <w:tc>
          <w:tcPr>
            <w:tcW w:w="938" w:type="dxa"/>
            <w:vMerge w:val="restart"/>
            <w:shd w:val="clear" w:color="auto" w:fill="CCFFFF"/>
            <w:vAlign w:val="center"/>
          </w:tcPr>
          <w:p>
            <w:pPr>
              <w:widowControl/>
              <w:snapToGrid w:val="0"/>
              <w:spacing w:line="216" w:lineRule="auto"/>
              <w:rPr>
                <w:rFonts w:ascii="宋体" w:hAnsi="宋体"/>
                <w:bCs/>
                <w:color w:val="000000"/>
                <w:kern w:val="0"/>
                <w:szCs w:val="21"/>
              </w:rPr>
            </w:pPr>
            <w:r>
              <w:rPr>
                <w:rFonts w:hint="eastAsia" w:ascii="宋体" w:hAnsi="宋体"/>
                <w:bCs/>
                <w:color w:val="000000"/>
                <w:kern w:val="0"/>
                <w:szCs w:val="21"/>
              </w:rPr>
              <w:t>化工生产技术</w:t>
            </w: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核心专业</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ascii="宋体" w:hAnsi="宋体"/>
                <w:color w:val="000000"/>
                <w:kern w:val="0"/>
                <w:szCs w:val="21"/>
              </w:rPr>
              <w:t>570201</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应用化工技术</w:t>
            </w:r>
          </w:p>
        </w:tc>
        <w:tc>
          <w:tcPr>
            <w:tcW w:w="1832" w:type="dxa"/>
            <w:shd w:val="clear" w:color="auto" w:fill="CCFFFF"/>
            <w:vAlign w:val="center"/>
          </w:tcPr>
          <w:p>
            <w:pPr>
              <w:widowControl/>
              <w:snapToGrid w:val="0"/>
              <w:spacing w:line="216" w:lineRule="auto"/>
              <w:jc w:val="left"/>
              <w:rPr>
                <w:rFonts w:ascii="宋体" w:hAnsi="宋体"/>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其他专业1</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ascii="宋体" w:hAnsi="宋体"/>
                <w:color w:val="000000"/>
                <w:kern w:val="0"/>
                <w:szCs w:val="21"/>
              </w:rPr>
              <w:t>570205</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精细化工技术</w:t>
            </w:r>
          </w:p>
        </w:tc>
        <w:tc>
          <w:tcPr>
            <w:tcW w:w="1832" w:type="dxa"/>
            <w:shd w:val="clear" w:color="auto" w:fill="CCFFFF"/>
            <w:vAlign w:val="center"/>
          </w:tcPr>
          <w:p>
            <w:pPr>
              <w:widowControl/>
              <w:snapToGrid w:val="0"/>
              <w:spacing w:line="216" w:lineRule="auto"/>
              <w:jc w:val="left"/>
              <w:rPr>
                <w:rFonts w:ascii="宋体" w:hAnsi="宋体"/>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其他专业2</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570203</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石油化工技术</w:t>
            </w:r>
          </w:p>
        </w:tc>
        <w:tc>
          <w:tcPr>
            <w:tcW w:w="1832" w:type="dxa"/>
            <w:shd w:val="clear" w:color="auto" w:fill="CCFFFF"/>
            <w:vAlign w:val="center"/>
          </w:tcPr>
          <w:p>
            <w:pPr>
              <w:widowControl/>
              <w:snapToGrid w:val="0"/>
              <w:spacing w:line="216" w:lineRule="auto"/>
              <w:jc w:val="left"/>
              <w:rPr>
                <w:rFonts w:ascii="宋体" w:hAnsi="宋体"/>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其他专业3</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8010</w:t>
            </w:r>
            <w:r>
              <w:rPr>
                <w:rFonts w:hint="eastAsia" w:ascii="宋体" w:hAnsi="宋体"/>
                <w:color w:val="000000"/>
                <w:kern w:val="0"/>
                <w:szCs w:val="21"/>
              </w:rPr>
              <w:t>6</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化妆品技术</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r>
              <w:rPr>
                <w:rFonts w:hint="eastAsia" w:ascii="宋体" w:hAnsi="宋体"/>
                <w:color w:val="000000"/>
                <w:kern w:val="0"/>
                <w:sz w:val="15"/>
                <w:szCs w:val="15"/>
              </w:rPr>
              <w:t>精细化工技术(化妆品营销与使用技术方向)改造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其他专业4</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70204</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高分子合成技术</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r>
              <w:rPr>
                <w:rFonts w:hint="eastAsia" w:ascii="宋体" w:hAnsi="宋体"/>
                <w:color w:val="000000"/>
                <w:kern w:val="0"/>
                <w:sz w:val="15"/>
                <w:szCs w:val="15"/>
              </w:rPr>
              <w:t>原高分子材料工程技术专业改造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其他专业5</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8010</w:t>
            </w:r>
            <w:r>
              <w:rPr>
                <w:rFonts w:hint="eastAsia" w:ascii="宋体" w:hAnsi="宋体"/>
                <w:color w:val="000000"/>
                <w:kern w:val="0"/>
                <w:szCs w:val="21"/>
              </w:rPr>
              <w:t>3</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香料香精工艺</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restart"/>
            <w:shd w:val="clear" w:color="auto" w:fill="CCFFFF"/>
            <w:vAlign w:val="center"/>
          </w:tcPr>
          <w:p>
            <w:pPr>
              <w:widowControl/>
              <w:snapToGrid w:val="0"/>
              <w:jc w:val="center"/>
              <w:rPr>
                <w:rFonts w:ascii="宋体" w:hAnsi="宋体"/>
                <w:color w:val="000000"/>
                <w:kern w:val="0"/>
                <w:szCs w:val="21"/>
              </w:rPr>
            </w:pPr>
            <w:r>
              <w:rPr>
                <w:rFonts w:ascii="宋体" w:hAnsi="宋体"/>
                <w:color w:val="000000"/>
                <w:kern w:val="0"/>
                <w:szCs w:val="21"/>
              </w:rPr>
              <w:t>重点建设专业群2</w:t>
            </w:r>
          </w:p>
        </w:tc>
        <w:tc>
          <w:tcPr>
            <w:tcW w:w="938" w:type="dxa"/>
            <w:vMerge w:val="restart"/>
            <w:shd w:val="clear" w:color="auto" w:fill="CCFFFF"/>
            <w:vAlign w:val="center"/>
          </w:tcPr>
          <w:p>
            <w:pPr>
              <w:widowControl/>
              <w:snapToGrid w:val="0"/>
              <w:spacing w:line="216" w:lineRule="auto"/>
              <w:rPr>
                <w:rFonts w:ascii="宋体" w:hAnsi="宋体"/>
                <w:bCs/>
                <w:color w:val="000000"/>
                <w:kern w:val="0"/>
                <w:szCs w:val="21"/>
              </w:rPr>
            </w:pPr>
            <w:r>
              <w:rPr>
                <w:rFonts w:hint="eastAsia" w:ascii="宋体" w:hAnsi="宋体"/>
                <w:bCs/>
                <w:color w:val="000000"/>
                <w:kern w:val="0"/>
                <w:szCs w:val="21"/>
              </w:rPr>
              <w:t>化学与生物制药技术</w:t>
            </w:r>
          </w:p>
        </w:tc>
        <w:tc>
          <w:tcPr>
            <w:tcW w:w="1364" w:type="dxa"/>
            <w:vMerge w:val="restart"/>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核心专业</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90</w:t>
            </w:r>
            <w:r>
              <w:rPr>
                <w:rFonts w:hint="eastAsia" w:ascii="宋体" w:hAnsi="宋体"/>
                <w:color w:val="000000"/>
                <w:kern w:val="0"/>
                <w:szCs w:val="21"/>
              </w:rPr>
              <w:t>2</w:t>
            </w:r>
            <w:r>
              <w:rPr>
                <w:rFonts w:ascii="宋体" w:hAnsi="宋体"/>
                <w:color w:val="000000"/>
                <w:kern w:val="0"/>
                <w:szCs w:val="21"/>
              </w:rPr>
              <w:t>02</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药品生产技术(化学药生产技术方向)</w:t>
            </w:r>
          </w:p>
        </w:tc>
        <w:tc>
          <w:tcPr>
            <w:tcW w:w="1832" w:type="dxa"/>
            <w:vMerge w:val="restart"/>
            <w:shd w:val="clear" w:color="auto" w:fill="CCFFFF"/>
            <w:vAlign w:val="center"/>
          </w:tcPr>
          <w:p>
            <w:pPr>
              <w:widowControl/>
              <w:snapToGrid w:val="0"/>
              <w:spacing w:line="216" w:lineRule="auto"/>
              <w:jc w:val="left"/>
              <w:rPr>
                <w:rFonts w:ascii="宋体" w:hAnsi="宋体"/>
                <w:color w:val="000000"/>
                <w:kern w:val="0"/>
                <w:sz w:val="15"/>
                <w:szCs w:val="15"/>
              </w:rPr>
            </w:pPr>
            <w:r>
              <w:rPr>
                <w:rFonts w:hint="eastAsia" w:ascii="宋体" w:hAnsi="宋体"/>
                <w:color w:val="000000"/>
                <w:kern w:val="0"/>
                <w:sz w:val="15"/>
                <w:szCs w:val="15"/>
              </w:rPr>
              <w:t>含化学药和中药生产技术两个方向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vMerge w:val="continue"/>
            <w:shd w:val="clear" w:color="auto" w:fill="CCFFFF"/>
            <w:vAlign w:val="center"/>
          </w:tcPr>
          <w:p>
            <w:pPr>
              <w:snapToGrid w:val="0"/>
              <w:spacing w:line="216" w:lineRule="auto"/>
              <w:jc w:val="center"/>
              <w:rPr>
                <w:rFonts w:ascii="宋体" w:hAnsi="宋体"/>
                <w:szCs w:val="21"/>
              </w:rPr>
            </w:pP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90</w:t>
            </w:r>
            <w:r>
              <w:rPr>
                <w:rFonts w:hint="eastAsia" w:ascii="宋体" w:hAnsi="宋体"/>
                <w:color w:val="000000"/>
                <w:kern w:val="0"/>
                <w:szCs w:val="21"/>
              </w:rPr>
              <w:t>2</w:t>
            </w:r>
            <w:r>
              <w:rPr>
                <w:rFonts w:ascii="宋体" w:hAnsi="宋体"/>
                <w:color w:val="000000"/>
                <w:kern w:val="0"/>
                <w:szCs w:val="21"/>
              </w:rPr>
              <w:t>02</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药品生产技术(中药生产技术方向)</w:t>
            </w:r>
          </w:p>
        </w:tc>
        <w:tc>
          <w:tcPr>
            <w:tcW w:w="1832" w:type="dxa"/>
            <w:vMerge w:val="continue"/>
            <w:shd w:val="clear" w:color="auto" w:fill="CCFFFF"/>
            <w:vAlign w:val="center"/>
          </w:tcPr>
          <w:p>
            <w:pPr>
              <w:widowControl/>
              <w:snapToGrid w:val="0"/>
              <w:spacing w:line="216" w:lineRule="auto"/>
              <w:jc w:val="left"/>
              <w:rPr>
                <w:rFonts w:ascii="宋体" w:hAnsi="宋体"/>
                <w:color w:val="000000"/>
                <w:kern w:val="0"/>
                <w:sz w:val="15"/>
                <w:szCs w:val="15"/>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其他专业1</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20301</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药学</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其他专业2</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70103</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药品生物技术</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其他专业3</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90</w:t>
            </w:r>
            <w:r>
              <w:rPr>
                <w:rFonts w:hint="eastAsia" w:ascii="宋体" w:hAnsi="宋体"/>
                <w:color w:val="000000"/>
                <w:kern w:val="0"/>
                <w:szCs w:val="21"/>
              </w:rPr>
              <w:t>2</w:t>
            </w:r>
            <w:r>
              <w:rPr>
                <w:rFonts w:ascii="宋体" w:hAnsi="宋体"/>
                <w:color w:val="000000"/>
                <w:kern w:val="0"/>
                <w:szCs w:val="21"/>
              </w:rPr>
              <w:t>04</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药品质量与安全</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r>
              <w:rPr>
                <w:rFonts w:ascii="宋体" w:hAnsi="宋体"/>
                <w:color w:val="000000"/>
                <w:kern w:val="0"/>
                <w:sz w:val="15"/>
                <w:szCs w:val="15"/>
              </w:rPr>
              <w:t xml:space="preserve">工业分析技术专业(药品检测方向)改造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restart"/>
            <w:shd w:val="clear" w:color="auto" w:fill="CCFFFF"/>
            <w:vAlign w:val="center"/>
          </w:tcPr>
          <w:p>
            <w:pPr>
              <w:widowControl/>
              <w:snapToGrid w:val="0"/>
              <w:jc w:val="center"/>
              <w:rPr>
                <w:rFonts w:ascii="宋体" w:hAnsi="宋体"/>
                <w:color w:val="000000"/>
                <w:kern w:val="0"/>
                <w:szCs w:val="21"/>
              </w:rPr>
            </w:pPr>
            <w:r>
              <w:rPr>
                <w:rFonts w:ascii="宋体" w:hAnsi="宋体"/>
                <w:color w:val="000000"/>
                <w:kern w:val="0"/>
                <w:szCs w:val="21"/>
              </w:rPr>
              <w:t>重点建设专业群3</w:t>
            </w:r>
          </w:p>
        </w:tc>
        <w:tc>
          <w:tcPr>
            <w:tcW w:w="938" w:type="dxa"/>
            <w:vMerge w:val="restart"/>
            <w:shd w:val="clear" w:color="auto" w:fill="CCFFFF"/>
            <w:vAlign w:val="center"/>
          </w:tcPr>
          <w:p>
            <w:pPr>
              <w:widowControl/>
              <w:snapToGrid w:val="0"/>
              <w:spacing w:line="216" w:lineRule="auto"/>
              <w:rPr>
                <w:rFonts w:ascii="宋体" w:hAnsi="宋体"/>
                <w:bCs/>
                <w:color w:val="000000"/>
                <w:kern w:val="0"/>
                <w:szCs w:val="21"/>
              </w:rPr>
            </w:pPr>
            <w:r>
              <w:rPr>
                <w:rFonts w:hint="eastAsia" w:ascii="宋体" w:hAnsi="宋体"/>
                <w:bCs/>
                <w:color w:val="000000"/>
                <w:kern w:val="0"/>
                <w:szCs w:val="21"/>
              </w:rPr>
              <w:t>化工自动化技术</w:t>
            </w: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核心专业</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56</w:t>
            </w:r>
            <w:r>
              <w:rPr>
                <w:rFonts w:ascii="宋体" w:hAnsi="宋体"/>
                <w:color w:val="000000"/>
                <w:kern w:val="0"/>
                <w:szCs w:val="21"/>
              </w:rPr>
              <w:t>0303</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工业过程自动化技术</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其他专业1</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56</w:t>
            </w:r>
            <w:r>
              <w:rPr>
                <w:rFonts w:ascii="宋体" w:hAnsi="宋体"/>
                <w:color w:val="000000"/>
                <w:kern w:val="0"/>
                <w:szCs w:val="21"/>
              </w:rPr>
              <w:t>0302</w:t>
            </w:r>
          </w:p>
        </w:tc>
        <w:tc>
          <w:tcPr>
            <w:tcW w:w="2762" w:type="dxa"/>
            <w:shd w:val="clear" w:color="auto" w:fill="CCFFFF"/>
            <w:vAlign w:val="center"/>
          </w:tcPr>
          <w:p>
            <w:pPr>
              <w:widowControl/>
              <w:snapToGrid w:val="0"/>
              <w:spacing w:line="216" w:lineRule="auto"/>
              <w:rPr>
                <w:rFonts w:ascii="宋体" w:hAnsi="宋体"/>
                <w:color w:val="000000"/>
                <w:spacing w:val="-20"/>
                <w:kern w:val="0"/>
                <w:szCs w:val="21"/>
              </w:rPr>
            </w:pPr>
            <w:r>
              <w:rPr>
                <w:rFonts w:hint="eastAsia" w:ascii="宋体" w:hAnsi="宋体"/>
                <w:color w:val="000000"/>
                <w:kern w:val="0"/>
                <w:szCs w:val="21"/>
              </w:rPr>
              <w:t>电气自动化技术</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其他专业2</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56</w:t>
            </w:r>
            <w:r>
              <w:rPr>
                <w:rFonts w:ascii="宋体" w:hAnsi="宋体"/>
                <w:color w:val="000000"/>
                <w:kern w:val="0"/>
                <w:szCs w:val="21"/>
              </w:rPr>
              <w:t>0301</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机电一体化技术</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其他专业3</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56</w:t>
            </w:r>
            <w:r>
              <w:rPr>
                <w:rFonts w:ascii="宋体" w:hAnsi="宋体"/>
                <w:color w:val="000000"/>
                <w:kern w:val="0"/>
                <w:szCs w:val="21"/>
              </w:rPr>
              <w:t>0309</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spacing w:val="-20"/>
                <w:kern w:val="0"/>
                <w:szCs w:val="21"/>
              </w:rPr>
              <w:t>工业机器人技术</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r>
              <w:rPr>
                <w:rFonts w:hint="eastAsia" w:ascii="宋体" w:hAnsi="宋体"/>
                <w:color w:val="000000"/>
                <w:kern w:val="0"/>
                <w:sz w:val="15"/>
                <w:szCs w:val="15"/>
              </w:rPr>
              <w:t>机电一体化技术(工业机器人方向)改造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其他专业4</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56</w:t>
            </w:r>
            <w:r>
              <w:rPr>
                <w:rFonts w:ascii="宋体" w:hAnsi="宋体"/>
                <w:color w:val="000000"/>
                <w:kern w:val="0"/>
                <w:szCs w:val="21"/>
              </w:rPr>
              <w:t>0305</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工业网络技术</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r>
              <w:rPr>
                <w:rFonts w:hint="eastAsia" w:ascii="宋体" w:hAnsi="宋体"/>
                <w:color w:val="000000"/>
                <w:kern w:val="0"/>
                <w:sz w:val="15"/>
                <w:szCs w:val="15"/>
              </w:rPr>
              <w:t>计算机网路技术专业改造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其他专业5</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10105</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智能终端技术与应用</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r>
              <w:rPr>
                <w:rFonts w:hint="eastAsia" w:ascii="宋体" w:hAnsi="宋体"/>
                <w:color w:val="000000"/>
                <w:kern w:val="0"/>
                <w:sz w:val="15"/>
                <w:szCs w:val="15"/>
              </w:rPr>
              <w:t>软件技术改造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restart"/>
            <w:shd w:val="clear" w:color="auto" w:fill="CCFFFF"/>
            <w:vAlign w:val="center"/>
          </w:tcPr>
          <w:p>
            <w:pPr>
              <w:widowControl/>
              <w:snapToGrid w:val="0"/>
              <w:jc w:val="center"/>
              <w:rPr>
                <w:rFonts w:ascii="宋体" w:hAnsi="宋体"/>
                <w:color w:val="000000"/>
                <w:kern w:val="0"/>
                <w:szCs w:val="21"/>
              </w:rPr>
            </w:pPr>
            <w:r>
              <w:rPr>
                <w:rFonts w:ascii="宋体" w:hAnsi="宋体"/>
                <w:color w:val="000000"/>
                <w:kern w:val="0"/>
                <w:szCs w:val="21"/>
              </w:rPr>
              <w:t>其他专业群</w:t>
            </w:r>
            <w:r>
              <w:rPr>
                <w:rFonts w:hint="eastAsia" w:ascii="宋体" w:hAnsi="宋体"/>
                <w:color w:val="000000"/>
                <w:kern w:val="0"/>
                <w:szCs w:val="21"/>
              </w:rPr>
              <w:t>1</w:t>
            </w:r>
          </w:p>
        </w:tc>
        <w:tc>
          <w:tcPr>
            <w:tcW w:w="938" w:type="dxa"/>
            <w:vMerge w:val="restart"/>
            <w:shd w:val="clear" w:color="auto" w:fill="CCFFFF"/>
            <w:vAlign w:val="center"/>
          </w:tcPr>
          <w:p>
            <w:pPr>
              <w:widowControl/>
              <w:snapToGrid w:val="0"/>
              <w:spacing w:line="216" w:lineRule="auto"/>
              <w:rPr>
                <w:rFonts w:ascii="宋体" w:hAnsi="宋体"/>
                <w:bCs/>
                <w:color w:val="000000"/>
                <w:kern w:val="0"/>
                <w:szCs w:val="21"/>
              </w:rPr>
            </w:pPr>
            <w:r>
              <w:rPr>
                <w:rFonts w:hint="eastAsia" w:ascii="宋体" w:hAnsi="宋体"/>
                <w:bCs/>
                <w:color w:val="000000"/>
                <w:kern w:val="0"/>
                <w:szCs w:val="21"/>
              </w:rPr>
              <w:t>化工装备制造技术</w:t>
            </w: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核心专业</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70208</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化工装备技术</w:t>
            </w:r>
          </w:p>
        </w:tc>
        <w:tc>
          <w:tcPr>
            <w:tcW w:w="1832" w:type="dxa"/>
            <w:shd w:val="clear" w:color="auto" w:fill="CCFFFF"/>
            <w:vAlign w:val="center"/>
          </w:tcPr>
          <w:p>
            <w:pPr>
              <w:snapToGrid w:val="0"/>
              <w:spacing w:line="216"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其他专业1</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56</w:t>
            </w:r>
            <w:r>
              <w:rPr>
                <w:rFonts w:ascii="宋体" w:hAnsi="宋体"/>
                <w:color w:val="000000"/>
                <w:kern w:val="0"/>
                <w:szCs w:val="21"/>
              </w:rPr>
              <w:t>0103</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数控技术</w:t>
            </w:r>
          </w:p>
        </w:tc>
        <w:tc>
          <w:tcPr>
            <w:tcW w:w="1832" w:type="dxa"/>
            <w:shd w:val="clear" w:color="auto" w:fill="CCFFFF"/>
            <w:vAlign w:val="center"/>
          </w:tcPr>
          <w:p>
            <w:pPr>
              <w:snapToGrid w:val="0"/>
              <w:spacing w:line="216"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其他专业2</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56</w:t>
            </w:r>
            <w:r>
              <w:rPr>
                <w:rFonts w:ascii="宋体" w:hAnsi="宋体"/>
                <w:color w:val="000000"/>
                <w:kern w:val="0"/>
                <w:szCs w:val="21"/>
              </w:rPr>
              <w:t>011</w:t>
            </w:r>
            <w:r>
              <w:rPr>
                <w:rFonts w:hint="eastAsia" w:ascii="宋体" w:hAnsi="宋体"/>
                <w:color w:val="000000"/>
                <w:kern w:val="0"/>
                <w:szCs w:val="21"/>
              </w:rPr>
              <w:t>8</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工</w:t>
            </w:r>
            <w:r>
              <w:rPr>
                <w:rFonts w:hint="eastAsia" w:ascii="宋体" w:hAnsi="宋体"/>
                <w:color w:val="000000"/>
                <w:spacing w:val="-10"/>
                <w:kern w:val="0"/>
                <w:szCs w:val="21"/>
              </w:rPr>
              <w:t>业设计(工业设备设计方向</w:t>
            </w:r>
            <w:r>
              <w:rPr>
                <w:rFonts w:hint="eastAsia" w:ascii="宋体" w:hAnsi="宋体"/>
                <w:color w:val="000000"/>
                <w:kern w:val="0"/>
                <w:szCs w:val="21"/>
              </w:rPr>
              <w:t>)</w:t>
            </w:r>
          </w:p>
        </w:tc>
        <w:tc>
          <w:tcPr>
            <w:tcW w:w="1832" w:type="dxa"/>
            <w:shd w:val="clear" w:color="auto" w:fill="CCFFFF"/>
            <w:vAlign w:val="center"/>
          </w:tcPr>
          <w:p>
            <w:pPr>
              <w:snapToGrid w:val="0"/>
              <w:spacing w:line="216"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其他专业3</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56</w:t>
            </w:r>
            <w:r>
              <w:rPr>
                <w:rFonts w:ascii="宋体" w:hAnsi="宋体"/>
                <w:color w:val="000000"/>
                <w:kern w:val="0"/>
                <w:szCs w:val="21"/>
              </w:rPr>
              <w:t>0102</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机械制造与自动化</w:t>
            </w:r>
          </w:p>
        </w:tc>
        <w:tc>
          <w:tcPr>
            <w:tcW w:w="1832" w:type="dxa"/>
            <w:shd w:val="clear" w:color="auto" w:fill="CCFFFF"/>
            <w:vAlign w:val="center"/>
          </w:tcPr>
          <w:p>
            <w:pPr>
              <w:snapToGrid w:val="0"/>
              <w:spacing w:line="216"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restart"/>
            <w:shd w:val="clear" w:color="auto" w:fill="CCFFFF"/>
            <w:vAlign w:val="center"/>
          </w:tcPr>
          <w:p>
            <w:pPr>
              <w:widowControl/>
              <w:snapToGrid w:val="0"/>
              <w:jc w:val="left"/>
              <w:rPr>
                <w:rFonts w:ascii="宋体" w:hAnsi="宋体"/>
                <w:color w:val="000000"/>
                <w:kern w:val="0"/>
                <w:szCs w:val="21"/>
              </w:rPr>
            </w:pPr>
            <w:r>
              <w:rPr>
                <w:rFonts w:ascii="宋体" w:hAnsi="宋体"/>
                <w:color w:val="000000"/>
                <w:kern w:val="0"/>
                <w:szCs w:val="21"/>
              </w:rPr>
              <w:t>其他专业群</w:t>
            </w:r>
            <w:r>
              <w:rPr>
                <w:rFonts w:hint="eastAsia" w:ascii="宋体" w:hAnsi="宋体"/>
                <w:color w:val="000000"/>
                <w:kern w:val="0"/>
                <w:szCs w:val="21"/>
              </w:rPr>
              <w:t>2</w:t>
            </w:r>
          </w:p>
        </w:tc>
        <w:tc>
          <w:tcPr>
            <w:tcW w:w="938" w:type="dxa"/>
            <w:vMerge w:val="restart"/>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化工生产运营与管理</w:t>
            </w: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核心专业</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3030</w:t>
            </w:r>
            <w:r>
              <w:rPr>
                <w:rFonts w:hint="eastAsia" w:ascii="宋体" w:hAnsi="宋体"/>
                <w:color w:val="000000"/>
                <w:kern w:val="0"/>
                <w:szCs w:val="21"/>
              </w:rPr>
              <w:t>2</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会计</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其他专业1</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90</w:t>
            </w:r>
            <w:r>
              <w:rPr>
                <w:rFonts w:hint="eastAsia" w:ascii="宋体" w:hAnsi="宋体"/>
                <w:color w:val="000000"/>
                <w:kern w:val="0"/>
                <w:szCs w:val="21"/>
              </w:rPr>
              <w:t>3</w:t>
            </w:r>
            <w:r>
              <w:rPr>
                <w:rFonts w:ascii="宋体" w:hAnsi="宋体"/>
                <w:color w:val="000000"/>
                <w:kern w:val="0"/>
                <w:szCs w:val="21"/>
              </w:rPr>
              <w:t>01</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药品经营与管理</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r>
              <w:rPr>
                <w:rFonts w:hint="eastAsia" w:ascii="宋体" w:hAnsi="宋体"/>
                <w:color w:val="000000"/>
                <w:kern w:val="0"/>
                <w:sz w:val="15"/>
                <w:szCs w:val="15"/>
              </w:rPr>
              <w:t>市场营销专业改造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其他专业2</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90404</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化妆品经营与管理</w:t>
            </w:r>
          </w:p>
        </w:tc>
        <w:tc>
          <w:tcPr>
            <w:tcW w:w="1832" w:type="dxa"/>
            <w:shd w:val="clear" w:color="auto" w:fill="CCFFFF"/>
            <w:vAlign w:val="center"/>
          </w:tcPr>
          <w:p>
            <w:pPr>
              <w:widowControl/>
              <w:snapToGrid w:val="0"/>
              <w:spacing w:line="216" w:lineRule="auto"/>
              <w:jc w:val="left"/>
              <w:rPr>
                <w:rFonts w:ascii="宋体" w:hAnsi="宋体"/>
                <w:color w:val="000000"/>
                <w:kern w:val="0"/>
                <w:sz w:val="15"/>
                <w:szCs w:val="15"/>
              </w:rPr>
            </w:pPr>
            <w:r>
              <w:rPr>
                <w:rFonts w:hint="eastAsia" w:ascii="宋体" w:hAnsi="宋体"/>
                <w:color w:val="000000"/>
                <w:kern w:val="0"/>
                <w:sz w:val="15"/>
                <w:szCs w:val="15"/>
              </w:rPr>
              <w:t>市场营销专业改造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其他专业3</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30903</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物流管理</w:t>
            </w:r>
          </w:p>
        </w:tc>
        <w:tc>
          <w:tcPr>
            <w:tcW w:w="1832" w:type="dxa"/>
            <w:shd w:val="clear" w:color="auto" w:fill="CCFFFF"/>
            <w:vAlign w:val="center"/>
          </w:tcPr>
          <w:p>
            <w:pPr>
              <w:widowControl/>
              <w:snapToGrid w:val="0"/>
              <w:spacing w:line="216" w:lineRule="auto"/>
              <w:jc w:val="left"/>
              <w:rPr>
                <w:rFonts w:ascii="宋体" w:hAnsi="宋体"/>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CCFFFF"/>
            <w:vAlign w:val="center"/>
          </w:tcPr>
          <w:p>
            <w:pPr>
              <w:snapToGrid w:val="0"/>
              <w:jc w:val="center"/>
              <w:rPr>
                <w:rFonts w:ascii="宋体" w:hAnsi="宋体"/>
                <w:szCs w:val="21"/>
              </w:rPr>
            </w:pPr>
          </w:p>
        </w:tc>
        <w:tc>
          <w:tcPr>
            <w:tcW w:w="938" w:type="dxa"/>
            <w:vMerge w:val="continue"/>
            <w:shd w:val="clear" w:color="auto" w:fill="CCFFFF"/>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其他专业4</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30801</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电子商务</w:t>
            </w:r>
          </w:p>
        </w:tc>
        <w:tc>
          <w:tcPr>
            <w:tcW w:w="1832" w:type="dxa"/>
            <w:shd w:val="clear" w:color="auto" w:fill="CCFFFF"/>
            <w:vAlign w:val="center"/>
          </w:tcPr>
          <w:p>
            <w:pPr>
              <w:widowControl/>
              <w:snapToGrid w:val="0"/>
              <w:spacing w:line="216" w:lineRule="auto"/>
              <w:jc w:val="left"/>
              <w:rPr>
                <w:rFonts w:ascii="宋体" w:hAnsi="宋体"/>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2" w:hRule="exact"/>
          <w:jc w:val="center"/>
        </w:trPr>
        <w:tc>
          <w:tcPr>
            <w:tcW w:w="1035" w:type="dxa"/>
            <w:vMerge w:val="continue"/>
            <w:shd w:val="clear" w:color="auto" w:fill="auto"/>
            <w:vAlign w:val="center"/>
          </w:tcPr>
          <w:p>
            <w:pPr>
              <w:snapToGrid w:val="0"/>
              <w:jc w:val="center"/>
              <w:rPr>
                <w:rFonts w:ascii="宋体" w:hAnsi="宋体"/>
                <w:szCs w:val="21"/>
              </w:rPr>
            </w:pPr>
          </w:p>
        </w:tc>
        <w:tc>
          <w:tcPr>
            <w:tcW w:w="938" w:type="dxa"/>
            <w:vMerge w:val="continue"/>
            <w:shd w:val="clear" w:color="auto" w:fill="auto"/>
            <w:vAlign w:val="center"/>
          </w:tcPr>
          <w:p>
            <w:pPr>
              <w:snapToGrid w:val="0"/>
              <w:spacing w:line="216" w:lineRule="auto"/>
              <w:jc w:val="center"/>
              <w:rPr>
                <w:rFonts w:ascii="宋体" w:hAnsi="宋体"/>
                <w:szCs w:val="21"/>
              </w:rPr>
            </w:pPr>
          </w:p>
        </w:tc>
        <w:tc>
          <w:tcPr>
            <w:tcW w:w="1364"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其他专业5</w:t>
            </w:r>
          </w:p>
        </w:tc>
        <w:tc>
          <w:tcPr>
            <w:tcW w:w="1343" w:type="dxa"/>
            <w:gridSpan w:val="2"/>
            <w:shd w:val="clear" w:color="auto" w:fill="CCFFFF"/>
            <w:vAlign w:val="center"/>
          </w:tcPr>
          <w:p>
            <w:pPr>
              <w:widowControl/>
              <w:snapToGrid w:val="0"/>
              <w:spacing w:line="216" w:lineRule="auto"/>
              <w:jc w:val="center"/>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70202</w:t>
            </w:r>
          </w:p>
        </w:tc>
        <w:tc>
          <w:tcPr>
            <w:tcW w:w="2762" w:type="dxa"/>
            <w:shd w:val="clear" w:color="auto" w:fill="CCFFFF"/>
            <w:vAlign w:val="center"/>
          </w:tcPr>
          <w:p>
            <w:pPr>
              <w:widowControl/>
              <w:snapToGrid w:val="0"/>
              <w:spacing w:line="216" w:lineRule="auto"/>
              <w:rPr>
                <w:rFonts w:ascii="宋体" w:hAnsi="宋体"/>
                <w:color w:val="000000"/>
                <w:kern w:val="0"/>
                <w:szCs w:val="21"/>
              </w:rPr>
            </w:pPr>
            <w:r>
              <w:rPr>
                <w:rFonts w:hint="eastAsia" w:ascii="宋体" w:hAnsi="宋体"/>
                <w:color w:val="000000"/>
                <w:kern w:val="0"/>
                <w:szCs w:val="21"/>
              </w:rPr>
              <w:t>商务英语</w:t>
            </w:r>
          </w:p>
        </w:tc>
        <w:tc>
          <w:tcPr>
            <w:tcW w:w="1832" w:type="dxa"/>
            <w:shd w:val="clear" w:color="auto" w:fill="CCFFFF"/>
            <w:vAlign w:val="center"/>
          </w:tcPr>
          <w:p>
            <w:pPr>
              <w:widowControl/>
              <w:snapToGrid w:val="0"/>
              <w:spacing w:line="216" w:lineRule="auto"/>
              <w:jc w:val="left"/>
              <w:rPr>
                <w:rFonts w:ascii="宋体" w:hAnsi="宋体"/>
                <w:color w:val="000000"/>
                <w:kern w:val="0"/>
                <w:szCs w:val="21"/>
              </w:rPr>
            </w:pPr>
          </w:p>
        </w:tc>
      </w:tr>
    </w:tbl>
    <w:p>
      <w:pPr>
        <w:spacing w:line="360" w:lineRule="auto"/>
        <w:jc w:val="right"/>
        <w:rPr>
          <w:rFonts w:ascii="宋体" w:hAnsi="宋体" w:eastAsia="宋体" w:cs="宋体"/>
          <w:b/>
        </w:rPr>
      </w:pPr>
      <w:r>
        <w:rPr>
          <w:rFonts w:hint="eastAsia" w:ascii="宋体" w:hAnsi="宋体" w:eastAsia="宋体" w:cs="宋体"/>
          <w:b/>
        </w:rPr>
        <w:t>数据来源：湖南化工职业技术学院省级卓越高职院校项目实施方案</w:t>
      </w:r>
    </w:p>
    <w:p>
      <w:pPr>
        <w:pStyle w:val="4"/>
        <w:spacing w:before="156" w:after="156"/>
        <w:ind w:firstLine="562"/>
        <w:rPr>
          <w:color w:val="auto"/>
        </w:rPr>
      </w:pPr>
      <w:bookmarkStart w:id="9" w:name="_Toc31421"/>
      <w:bookmarkStart w:id="10" w:name="_Toc24903"/>
      <w:r>
        <w:rPr>
          <w:rFonts w:hint="eastAsia"/>
          <w:color w:val="auto"/>
        </w:rPr>
        <w:t>（2）学生规模及比例</w:t>
      </w:r>
      <w:bookmarkEnd w:id="9"/>
      <w:bookmarkEnd w:id="10"/>
    </w:p>
    <w:p>
      <w:pPr>
        <w:spacing w:line="360" w:lineRule="auto"/>
        <w:ind w:firstLine="480" w:firstLineChars="200"/>
        <w:rPr>
          <w:rFonts w:ascii="宋体" w:hAnsi="宋体"/>
          <w:sz w:val="24"/>
        </w:rPr>
      </w:pPr>
      <w:r>
        <w:rPr>
          <w:rFonts w:hint="eastAsia" w:asciiTheme="minorEastAsia" w:hAnsiTheme="minorEastAsia" w:cstheme="minorEastAsia"/>
          <w:sz w:val="24"/>
        </w:rPr>
        <w:t>学院以湖南省卓越高院校项目建设和特色专业体系构建为引领，持续加大专业调整力度，根据学院状态数据平台显示：截止2017年8月，学院在校生规模达11239人，其中三年制高职校生9511人。三年制高职学生中，群内专业在校生8915人，占全院三年制高职在校生总人数93.73%，较2016年提高13个百分点。在学生规模快速增长的情况下，群内专业学生规模大幅提升，重点建设专业群在校生规模较2016年60.31%增加4个百分点，达64.33%，专业群整合效果明显。化工类专业受到全国招生形势影响，学生规模虽稍有增长，但占比略有降低。(见图1-2)</w:t>
      </w:r>
      <w:r>
        <w:rPr>
          <w:rFonts w:hint="eastAsia" w:ascii="宋体" w:hAnsi="宋体"/>
          <w:sz w:val="24"/>
        </w:rPr>
        <w:t>。</w:t>
      </w:r>
    </w:p>
    <w:p>
      <w:pPr>
        <w:spacing w:line="360" w:lineRule="auto"/>
        <w:jc w:val="center"/>
        <w:rPr>
          <w:rFonts w:ascii="宋体" w:hAnsi="宋体"/>
          <w:sz w:val="24"/>
        </w:rPr>
      </w:pPr>
      <w:r>
        <w:drawing>
          <wp:inline distT="0" distB="0" distL="114300" distR="114300">
            <wp:extent cx="5057775" cy="3075940"/>
            <wp:effectExtent l="4445" t="4445" r="5080" b="5715"/>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jc w:val="center"/>
        <w:rPr>
          <w:rFonts w:ascii="宋体" w:hAnsi="宋体"/>
          <w:b/>
          <w:szCs w:val="21"/>
        </w:rPr>
      </w:pPr>
      <w:r>
        <w:rPr>
          <w:rFonts w:hint="eastAsia" w:ascii="宋体" w:hAnsi="宋体"/>
          <w:b/>
          <w:szCs w:val="21"/>
        </w:rPr>
        <w:t>图1-2 学院</w:t>
      </w:r>
      <w:r>
        <w:rPr>
          <w:rFonts w:ascii="宋体" w:hAnsi="宋体"/>
          <w:b/>
          <w:szCs w:val="21"/>
        </w:rPr>
        <w:t>各专业大类学生所占比例</w:t>
      </w:r>
    </w:p>
    <w:p>
      <w:pPr>
        <w:jc w:val="right"/>
        <w:rPr>
          <w:rFonts w:ascii="宋体" w:hAnsi="宋体" w:eastAsia="宋体" w:cs="宋体"/>
          <w:b/>
        </w:rPr>
      </w:pPr>
      <w:bookmarkStart w:id="11" w:name="_Toc465352266"/>
      <w:bookmarkStart w:id="12" w:name="_Toc465531484"/>
      <w:r>
        <w:rPr>
          <w:rFonts w:hint="eastAsia" w:ascii="宋体" w:hAnsi="宋体" w:eastAsia="宋体" w:cs="宋体"/>
          <w:b/>
        </w:rPr>
        <w:t>数据来源：全国高职院校状态数据采集与管理系统</w:t>
      </w:r>
    </w:p>
    <w:bookmarkEnd w:id="11"/>
    <w:bookmarkEnd w:id="12"/>
    <w:p>
      <w:pPr>
        <w:pStyle w:val="4"/>
        <w:spacing w:before="156" w:after="156"/>
        <w:ind w:firstLine="562"/>
        <w:rPr>
          <w:color w:val="auto"/>
        </w:rPr>
      </w:pPr>
      <w:bookmarkStart w:id="13" w:name="_Toc27463"/>
      <w:bookmarkStart w:id="14" w:name="_Toc30700"/>
      <w:r>
        <w:rPr>
          <w:rFonts w:hint="eastAsia"/>
          <w:color w:val="auto"/>
        </w:rPr>
        <w:t>（3）2017年招生情况</w:t>
      </w:r>
      <w:bookmarkEnd w:id="13"/>
      <w:bookmarkEnd w:id="14"/>
    </w:p>
    <w:p>
      <w:pPr>
        <w:spacing w:line="360" w:lineRule="auto"/>
        <w:ind w:firstLine="480" w:firstLineChars="200"/>
        <w:rPr>
          <w:rFonts w:ascii="宋体" w:hAnsi="宋体"/>
          <w:sz w:val="24"/>
        </w:rPr>
      </w:pPr>
      <w:r>
        <w:rPr>
          <w:rFonts w:hint="eastAsia" w:asciiTheme="minorEastAsia" w:hAnsiTheme="minorEastAsia" w:cstheme="minorEastAsia"/>
          <w:sz w:val="24"/>
        </w:rPr>
        <w:t>2017年学院三年制高职招生总数为3938人，招生专业34个，招生省份20个。实际报到三年制高职人数为3708人，报到率为94.2%。单独招生考试考生报名踊跃，报考人数达2438人，参加考试人数达2296人，学院按单招考试成绩排名共录取1450人</w:t>
      </w:r>
      <w:r>
        <w:rPr>
          <w:rFonts w:hint="eastAsia" w:ascii="宋体" w:hAnsi="宋体"/>
          <w:sz w:val="24"/>
        </w:rPr>
        <w:t>。</w:t>
      </w:r>
    </w:p>
    <w:p>
      <w:pPr>
        <w:spacing w:line="360" w:lineRule="auto"/>
        <w:jc w:val="center"/>
        <w:rPr>
          <w:rFonts w:ascii="宋体" w:hAnsi="宋体"/>
          <w:b/>
          <w:szCs w:val="21"/>
        </w:rPr>
      </w:pPr>
      <w:r>
        <w:rPr>
          <w:rFonts w:hint="eastAsia" w:ascii="宋体" w:hAnsi="宋体"/>
          <w:b/>
          <w:szCs w:val="21"/>
        </w:rPr>
        <w:t>表1-2 2017</w:t>
      </w:r>
      <w:r>
        <w:rPr>
          <w:rFonts w:ascii="宋体" w:hAnsi="宋体"/>
          <w:b/>
          <w:szCs w:val="21"/>
        </w:rPr>
        <w:t>年新生报考情况</w:t>
      </w:r>
    </w:p>
    <w:tbl>
      <w:tblPr>
        <w:tblStyle w:val="1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4133"/>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Borders>
              <w:top w:val="single" w:color="auto" w:sz="12" w:space="0"/>
              <w:left w:val="single" w:color="auto" w:sz="12" w:space="0"/>
              <w:bottom w:val="single" w:color="auto" w:sz="4" w:space="0"/>
            </w:tcBorders>
            <w:shd w:val="clear" w:color="auto" w:fill="FF6600"/>
          </w:tcPr>
          <w:p>
            <w:pPr>
              <w:spacing w:line="360" w:lineRule="auto"/>
              <w:jc w:val="center"/>
              <w:rPr>
                <w:rFonts w:ascii="宋体" w:hAnsi="宋体"/>
                <w:b/>
                <w:sz w:val="24"/>
              </w:rPr>
            </w:pPr>
            <w:r>
              <w:rPr>
                <w:rFonts w:hint="eastAsia" w:ascii="宋体" w:hAnsi="宋体"/>
                <w:b/>
                <w:sz w:val="24"/>
              </w:rPr>
              <w:t>序号</w:t>
            </w:r>
          </w:p>
        </w:tc>
        <w:tc>
          <w:tcPr>
            <w:tcW w:w="4133" w:type="dxa"/>
            <w:tcBorders>
              <w:top w:val="single" w:color="auto" w:sz="12" w:space="0"/>
              <w:bottom w:val="single" w:color="auto" w:sz="4" w:space="0"/>
            </w:tcBorders>
            <w:shd w:val="clear" w:color="auto" w:fill="FF6600"/>
          </w:tcPr>
          <w:p>
            <w:pPr>
              <w:spacing w:line="360" w:lineRule="auto"/>
              <w:jc w:val="center"/>
              <w:rPr>
                <w:rFonts w:ascii="宋体" w:hAnsi="宋体"/>
                <w:b/>
                <w:sz w:val="24"/>
              </w:rPr>
            </w:pPr>
            <w:r>
              <w:rPr>
                <w:rFonts w:hint="eastAsia" w:ascii="宋体" w:hAnsi="宋体"/>
                <w:b/>
                <w:sz w:val="24"/>
              </w:rPr>
              <w:t>项目</w:t>
            </w:r>
          </w:p>
        </w:tc>
        <w:tc>
          <w:tcPr>
            <w:tcW w:w="2841" w:type="dxa"/>
            <w:tcBorders>
              <w:top w:val="single" w:color="auto" w:sz="12" w:space="0"/>
              <w:bottom w:val="single" w:color="auto" w:sz="4" w:space="0"/>
              <w:right w:val="single" w:color="auto" w:sz="12" w:space="0"/>
            </w:tcBorders>
            <w:shd w:val="clear" w:color="auto" w:fill="FF6600"/>
          </w:tcPr>
          <w:p>
            <w:pPr>
              <w:spacing w:line="360" w:lineRule="auto"/>
              <w:jc w:val="center"/>
              <w:rPr>
                <w:rFonts w:ascii="宋体" w:hAnsi="宋体"/>
                <w:b/>
                <w:sz w:val="24"/>
              </w:rPr>
            </w:pPr>
            <w:r>
              <w:rPr>
                <w:rFonts w:hint="eastAsia" w:ascii="宋体" w:hAnsi="宋体"/>
                <w:b/>
                <w:sz w:val="24"/>
              </w:rPr>
              <w:t>学生数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Borders>
              <w:lef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1</w:t>
            </w:r>
          </w:p>
        </w:tc>
        <w:tc>
          <w:tcPr>
            <w:tcW w:w="4133" w:type="dxa"/>
            <w:shd w:val="clear" w:color="auto" w:fill="CCFFFF"/>
          </w:tcPr>
          <w:p>
            <w:pPr>
              <w:spacing w:line="360" w:lineRule="auto"/>
              <w:jc w:val="center"/>
              <w:rPr>
                <w:rFonts w:ascii="宋体" w:hAnsi="宋体"/>
                <w:sz w:val="24"/>
              </w:rPr>
            </w:pPr>
            <w:r>
              <w:rPr>
                <w:rFonts w:hint="eastAsia" w:ascii="宋体" w:hAnsi="宋体"/>
                <w:sz w:val="24"/>
              </w:rPr>
              <w:t>报考我院学生总数</w:t>
            </w:r>
          </w:p>
        </w:tc>
        <w:tc>
          <w:tcPr>
            <w:tcW w:w="2841" w:type="dxa"/>
            <w:tcBorders>
              <w:righ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13450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Borders>
              <w:lef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2</w:t>
            </w:r>
          </w:p>
        </w:tc>
        <w:tc>
          <w:tcPr>
            <w:tcW w:w="4133" w:type="dxa"/>
            <w:shd w:val="clear" w:color="auto" w:fill="CCFFFF"/>
          </w:tcPr>
          <w:p>
            <w:pPr>
              <w:spacing w:line="360" w:lineRule="auto"/>
              <w:jc w:val="center"/>
              <w:rPr>
                <w:rFonts w:ascii="宋体" w:hAnsi="宋体"/>
                <w:sz w:val="24"/>
              </w:rPr>
            </w:pPr>
            <w:r>
              <w:rPr>
                <w:rFonts w:hint="eastAsia" w:ascii="宋体" w:hAnsi="宋体"/>
                <w:sz w:val="24"/>
              </w:rPr>
              <w:t>第一志愿报考我院学生数</w:t>
            </w:r>
          </w:p>
        </w:tc>
        <w:tc>
          <w:tcPr>
            <w:tcW w:w="2841" w:type="dxa"/>
            <w:tcBorders>
              <w:righ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2138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Borders>
              <w:lef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3</w:t>
            </w:r>
          </w:p>
        </w:tc>
        <w:tc>
          <w:tcPr>
            <w:tcW w:w="4133" w:type="dxa"/>
            <w:shd w:val="clear" w:color="auto" w:fill="CCFFFF"/>
          </w:tcPr>
          <w:p>
            <w:pPr>
              <w:spacing w:line="360" w:lineRule="auto"/>
              <w:jc w:val="center"/>
              <w:rPr>
                <w:rFonts w:ascii="宋体" w:hAnsi="宋体"/>
                <w:sz w:val="24"/>
              </w:rPr>
            </w:pPr>
            <w:r>
              <w:rPr>
                <w:rFonts w:hint="eastAsia" w:ascii="宋体" w:hAnsi="宋体"/>
                <w:sz w:val="24"/>
              </w:rPr>
              <w:t>第二志愿报考我院学生数</w:t>
            </w:r>
          </w:p>
        </w:tc>
        <w:tc>
          <w:tcPr>
            <w:tcW w:w="2841" w:type="dxa"/>
            <w:tcBorders>
              <w:righ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1956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Borders>
              <w:left w:val="single" w:color="auto" w:sz="12" w:space="0"/>
              <w:bottom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4</w:t>
            </w:r>
          </w:p>
        </w:tc>
        <w:tc>
          <w:tcPr>
            <w:tcW w:w="4133" w:type="dxa"/>
            <w:tcBorders>
              <w:bottom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第三志愿报考我院学生数</w:t>
            </w:r>
          </w:p>
        </w:tc>
        <w:tc>
          <w:tcPr>
            <w:tcW w:w="2841" w:type="dxa"/>
            <w:tcBorders>
              <w:bottom w:val="single" w:color="auto" w:sz="12" w:space="0"/>
              <w:righ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1836</w:t>
            </w:r>
          </w:p>
        </w:tc>
      </w:tr>
    </w:tbl>
    <w:p>
      <w:pPr>
        <w:spacing w:line="360" w:lineRule="auto"/>
        <w:jc w:val="right"/>
        <w:rPr>
          <w:rFonts w:ascii="宋体" w:hAnsi="宋体"/>
          <w:b/>
          <w:szCs w:val="21"/>
        </w:rPr>
      </w:pPr>
      <w:r>
        <w:rPr>
          <w:rFonts w:hint="eastAsia" w:ascii="宋体" w:hAnsi="宋体"/>
          <w:b/>
          <w:szCs w:val="21"/>
        </w:rPr>
        <w:t>数据来源：学院招生就业处</w:t>
      </w:r>
    </w:p>
    <w:p>
      <w:pPr>
        <w:spacing w:line="360" w:lineRule="auto"/>
        <w:jc w:val="center"/>
        <w:rPr>
          <w:rFonts w:ascii="宋体" w:hAnsi="宋体"/>
          <w:b/>
          <w:szCs w:val="21"/>
        </w:rPr>
      </w:pPr>
      <w:r>
        <w:rPr>
          <w:rFonts w:hint="eastAsia" w:ascii="宋体" w:hAnsi="宋体"/>
          <w:b/>
          <w:szCs w:val="21"/>
        </w:rPr>
        <w:br w:type="page"/>
      </w:r>
    </w:p>
    <w:p>
      <w:pPr>
        <w:spacing w:line="360" w:lineRule="auto"/>
        <w:jc w:val="center"/>
        <w:rPr>
          <w:rFonts w:ascii="宋体" w:hAnsi="宋体"/>
          <w:b/>
          <w:szCs w:val="21"/>
        </w:rPr>
      </w:pPr>
      <w:r>
        <w:rPr>
          <w:rFonts w:hint="eastAsia" w:ascii="宋体" w:hAnsi="宋体"/>
          <w:b/>
          <w:szCs w:val="21"/>
        </w:rPr>
        <w:t>表1-3 2017</w:t>
      </w:r>
      <w:r>
        <w:rPr>
          <w:rFonts w:ascii="宋体" w:hAnsi="宋体"/>
          <w:b/>
          <w:szCs w:val="21"/>
        </w:rPr>
        <w:t>年新生录取</w:t>
      </w:r>
      <w:r>
        <w:rPr>
          <w:rFonts w:hint="eastAsia" w:ascii="宋体" w:hAnsi="宋体"/>
          <w:b/>
          <w:szCs w:val="21"/>
        </w:rPr>
        <w:t>报到</w:t>
      </w:r>
      <w:r>
        <w:rPr>
          <w:rFonts w:ascii="宋体" w:hAnsi="宋体"/>
          <w:b/>
          <w:szCs w:val="21"/>
        </w:rPr>
        <w:t>情况</w:t>
      </w:r>
    </w:p>
    <w:tbl>
      <w:tblPr>
        <w:tblStyle w:val="1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4133"/>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Borders>
              <w:top w:val="single" w:color="auto" w:sz="12" w:space="0"/>
              <w:left w:val="single" w:color="auto" w:sz="12" w:space="0"/>
              <w:bottom w:val="single" w:color="auto" w:sz="4" w:space="0"/>
            </w:tcBorders>
            <w:shd w:val="clear" w:color="auto" w:fill="FF6600"/>
          </w:tcPr>
          <w:p>
            <w:pPr>
              <w:spacing w:line="360" w:lineRule="auto"/>
              <w:jc w:val="center"/>
              <w:rPr>
                <w:rFonts w:ascii="宋体" w:hAnsi="宋体"/>
                <w:b/>
                <w:sz w:val="24"/>
              </w:rPr>
            </w:pPr>
            <w:r>
              <w:rPr>
                <w:rFonts w:hint="eastAsia" w:ascii="宋体" w:hAnsi="宋体"/>
                <w:b/>
                <w:sz w:val="24"/>
              </w:rPr>
              <w:t>序号</w:t>
            </w:r>
          </w:p>
        </w:tc>
        <w:tc>
          <w:tcPr>
            <w:tcW w:w="4133" w:type="dxa"/>
            <w:tcBorders>
              <w:top w:val="single" w:color="auto" w:sz="12" w:space="0"/>
              <w:bottom w:val="single" w:color="auto" w:sz="4" w:space="0"/>
            </w:tcBorders>
            <w:shd w:val="clear" w:color="auto" w:fill="FF6600"/>
          </w:tcPr>
          <w:p>
            <w:pPr>
              <w:spacing w:line="360" w:lineRule="auto"/>
              <w:jc w:val="center"/>
              <w:rPr>
                <w:rFonts w:ascii="宋体" w:hAnsi="宋体"/>
                <w:b/>
                <w:sz w:val="24"/>
              </w:rPr>
            </w:pPr>
            <w:r>
              <w:rPr>
                <w:rFonts w:hint="eastAsia" w:ascii="宋体" w:hAnsi="宋体"/>
                <w:b/>
                <w:sz w:val="24"/>
              </w:rPr>
              <w:t>项目</w:t>
            </w:r>
          </w:p>
        </w:tc>
        <w:tc>
          <w:tcPr>
            <w:tcW w:w="2841" w:type="dxa"/>
            <w:tcBorders>
              <w:top w:val="single" w:color="auto" w:sz="12" w:space="0"/>
              <w:bottom w:val="single" w:color="auto" w:sz="4" w:space="0"/>
              <w:right w:val="single" w:color="auto" w:sz="12" w:space="0"/>
            </w:tcBorders>
            <w:shd w:val="clear" w:color="auto" w:fill="FF6600"/>
          </w:tcPr>
          <w:p>
            <w:pPr>
              <w:spacing w:line="360" w:lineRule="auto"/>
              <w:jc w:val="center"/>
              <w:rPr>
                <w:rFonts w:ascii="宋体" w:hAnsi="宋体"/>
                <w:b/>
                <w:sz w:val="24"/>
              </w:rPr>
            </w:pPr>
            <w:r>
              <w:rPr>
                <w:rFonts w:hint="eastAsia" w:ascii="宋体" w:hAnsi="宋体"/>
                <w:b/>
                <w:sz w:val="24"/>
              </w:rPr>
              <w:t>学生数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Borders>
              <w:lef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1</w:t>
            </w:r>
          </w:p>
        </w:tc>
        <w:tc>
          <w:tcPr>
            <w:tcW w:w="4133" w:type="dxa"/>
            <w:shd w:val="clear" w:color="auto" w:fill="CCFFFF"/>
          </w:tcPr>
          <w:p>
            <w:pPr>
              <w:spacing w:line="360" w:lineRule="auto"/>
              <w:jc w:val="center"/>
              <w:rPr>
                <w:rFonts w:ascii="宋体" w:hAnsi="宋体"/>
                <w:sz w:val="24"/>
              </w:rPr>
            </w:pPr>
            <w:r>
              <w:rPr>
                <w:rFonts w:hint="eastAsia" w:ascii="宋体" w:hAnsi="宋体"/>
                <w:sz w:val="24"/>
              </w:rPr>
              <w:t>招生计划</w:t>
            </w:r>
          </w:p>
        </w:tc>
        <w:tc>
          <w:tcPr>
            <w:tcW w:w="2841" w:type="dxa"/>
            <w:tcBorders>
              <w:righ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3938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Borders>
              <w:lef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2</w:t>
            </w:r>
          </w:p>
        </w:tc>
        <w:tc>
          <w:tcPr>
            <w:tcW w:w="4133" w:type="dxa"/>
            <w:shd w:val="clear" w:color="auto" w:fill="CCFFFF"/>
          </w:tcPr>
          <w:p>
            <w:pPr>
              <w:spacing w:line="360" w:lineRule="auto"/>
              <w:jc w:val="center"/>
              <w:rPr>
                <w:rFonts w:ascii="宋体" w:hAnsi="宋体"/>
                <w:sz w:val="24"/>
              </w:rPr>
            </w:pPr>
            <w:r>
              <w:rPr>
                <w:rFonts w:hint="eastAsia" w:ascii="宋体" w:hAnsi="宋体"/>
                <w:sz w:val="24"/>
              </w:rPr>
              <w:t>实际报到</w:t>
            </w:r>
          </w:p>
        </w:tc>
        <w:tc>
          <w:tcPr>
            <w:tcW w:w="2841" w:type="dxa"/>
            <w:tcBorders>
              <w:righ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3708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Borders>
              <w:lef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3</w:t>
            </w:r>
          </w:p>
        </w:tc>
        <w:tc>
          <w:tcPr>
            <w:tcW w:w="4133" w:type="dxa"/>
            <w:shd w:val="clear" w:color="auto" w:fill="CCFFFF"/>
          </w:tcPr>
          <w:p>
            <w:pPr>
              <w:spacing w:line="360" w:lineRule="auto"/>
              <w:jc w:val="center"/>
              <w:rPr>
                <w:rFonts w:ascii="宋体" w:hAnsi="宋体"/>
                <w:sz w:val="24"/>
              </w:rPr>
            </w:pPr>
            <w:r>
              <w:rPr>
                <w:rFonts w:hint="eastAsia" w:ascii="宋体" w:hAnsi="宋体"/>
                <w:sz w:val="24"/>
              </w:rPr>
              <w:t>其中：单独招生报名</w:t>
            </w:r>
          </w:p>
        </w:tc>
        <w:tc>
          <w:tcPr>
            <w:tcW w:w="2841" w:type="dxa"/>
            <w:tcBorders>
              <w:righ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2438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Borders>
              <w:left w:val="single" w:color="auto" w:sz="12" w:space="0"/>
              <w:bottom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4</w:t>
            </w:r>
          </w:p>
        </w:tc>
        <w:tc>
          <w:tcPr>
            <w:tcW w:w="4133" w:type="dxa"/>
            <w:tcBorders>
              <w:bottom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其中：单独招生录取</w:t>
            </w:r>
          </w:p>
        </w:tc>
        <w:tc>
          <w:tcPr>
            <w:tcW w:w="2841" w:type="dxa"/>
            <w:tcBorders>
              <w:bottom w:val="single" w:color="auto" w:sz="12" w:space="0"/>
              <w:right w:val="single" w:color="auto" w:sz="12" w:space="0"/>
            </w:tcBorders>
            <w:shd w:val="clear" w:color="auto" w:fill="CCFFFF"/>
          </w:tcPr>
          <w:p>
            <w:pPr>
              <w:spacing w:line="360" w:lineRule="auto"/>
              <w:jc w:val="center"/>
              <w:rPr>
                <w:rFonts w:ascii="宋体" w:hAnsi="宋体"/>
                <w:sz w:val="24"/>
              </w:rPr>
            </w:pPr>
            <w:r>
              <w:rPr>
                <w:rFonts w:hint="eastAsia" w:ascii="宋体" w:hAnsi="宋体"/>
                <w:sz w:val="24"/>
              </w:rPr>
              <w:t>1450</w:t>
            </w:r>
          </w:p>
        </w:tc>
      </w:tr>
    </w:tbl>
    <w:p>
      <w:pPr>
        <w:spacing w:line="360" w:lineRule="auto"/>
        <w:jc w:val="right"/>
        <w:rPr>
          <w:rFonts w:ascii="宋体" w:hAnsi="宋体"/>
          <w:b/>
          <w:szCs w:val="21"/>
        </w:rPr>
      </w:pPr>
      <w:r>
        <w:rPr>
          <w:rFonts w:hint="eastAsia" w:ascii="宋体" w:hAnsi="宋体"/>
          <w:b/>
          <w:szCs w:val="21"/>
        </w:rPr>
        <w:t>数据来源：学院招生就业处</w:t>
      </w:r>
    </w:p>
    <w:p>
      <w:pPr>
        <w:spacing w:line="360" w:lineRule="auto"/>
        <w:jc w:val="center"/>
        <w:rPr>
          <w:rFonts w:ascii="宋体" w:hAnsi="宋体"/>
          <w:b/>
          <w:szCs w:val="21"/>
        </w:rPr>
      </w:pPr>
    </w:p>
    <w:p>
      <w:pPr>
        <w:spacing w:line="360" w:lineRule="auto"/>
        <w:jc w:val="center"/>
        <w:rPr>
          <w:rFonts w:ascii="宋体" w:hAnsi="宋体"/>
          <w:b/>
          <w:szCs w:val="21"/>
        </w:rPr>
      </w:pPr>
      <w:r>
        <w:rPr>
          <w:rFonts w:hint="eastAsia" w:ascii="宋体" w:hAnsi="宋体"/>
          <w:b/>
          <w:szCs w:val="21"/>
        </w:rPr>
        <w:drawing>
          <wp:inline distT="0" distB="0" distL="114300" distR="114300">
            <wp:extent cx="5025390" cy="3106420"/>
            <wp:effectExtent l="0" t="0" r="3810" b="17780"/>
            <wp:docPr id="5" name="图片 5" descr="QQ截图2017120716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71207162356"/>
                    <pic:cNvPicPr>
                      <a:picLocks noChangeAspect="1"/>
                    </pic:cNvPicPr>
                  </pic:nvPicPr>
                  <pic:blipFill>
                    <a:blip r:embed="rId12"/>
                    <a:stretch>
                      <a:fillRect/>
                    </a:stretch>
                  </pic:blipFill>
                  <pic:spPr>
                    <a:xfrm>
                      <a:off x="0" y="0"/>
                      <a:ext cx="5025390" cy="3106420"/>
                    </a:xfrm>
                    <a:prstGeom prst="rect">
                      <a:avLst/>
                    </a:prstGeom>
                  </pic:spPr>
                </pic:pic>
              </a:graphicData>
            </a:graphic>
          </wp:inline>
        </w:drawing>
      </w:r>
    </w:p>
    <w:p>
      <w:pPr>
        <w:jc w:val="center"/>
        <w:rPr>
          <w:rFonts w:ascii="宋体" w:hAnsi="宋体"/>
          <w:b/>
          <w:szCs w:val="21"/>
        </w:rPr>
      </w:pPr>
      <w:r>
        <w:rPr>
          <w:rFonts w:hint="eastAsia" w:ascii="宋体" w:hAnsi="宋体"/>
          <w:b/>
          <w:szCs w:val="21"/>
        </w:rPr>
        <w:t>图1-3 毕业生高考时报考学院原因统计</w:t>
      </w:r>
    </w:p>
    <w:p>
      <w:pPr>
        <w:jc w:val="right"/>
        <w:rPr>
          <w:rFonts w:ascii="宋体" w:hAnsi="宋体" w:eastAsia="宋体" w:cs="宋体"/>
          <w:b/>
        </w:rPr>
      </w:pPr>
      <w:r>
        <w:rPr>
          <w:rFonts w:hint="eastAsia" w:ascii="宋体" w:hAnsi="宋体" w:eastAsia="宋体" w:cs="宋体"/>
          <w:b/>
        </w:rPr>
        <w:t>数据来源：全国高职院校状态数据采集与管理系统</w:t>
      </w:r>
    </w:p>
    <w:p>
      <w:pPr>
        <w:pStyle w:val="3"/>
      </w:pPr>
      <w:bookmarkStart w:id="15" w:name="_Toc22125"/>
      <w:bookmarkStart w:id="16" w:name="_Toc23738"/>
      <w:r>
        <w:rPr>
          <w:rFonts w:hint="eastAsia"/>
        </w:rPr>
        <w:t>1.3 师资队伍建设</w:t>
      </w:r>
      <w:bookmarkEnd w:id="15"/>
      <w:bookmarkEnd w:id="16"/>
    </w:p>
    <w:p>
      <w:pPr>
        <w:adjustRightInd w:val="0"/>
        <w:snapToGrid w:val="0"/>
        <w:spacing w:line="360" w:lineRule="auto"/>
        <w:ind w:firstLine="480" w:firstLineChars="200"/>
        <w:rPr>
          <w:rFonts w:ascii="宋体" w:hAnsi="宋体"/>
          <w:sz w:val="24"/>
        </w:rPr>
      </w:pPr>
      <w:r>
        <w:rPr>
          <w:rFonts w:hint="eastAsia" w:asciiTheme="minorEastAsia" w:hAnsiTheme="minorEastAsia" w:cstheme="minorEastAsia"/>
          <w:sz w:val="24"/>
        </w:rPr>
        <w:t>学院依据省级卓越校建设要求和《湖南化工职业技术学院教师队伍建设三年规划（2017—2019年）》，深入推进教师队伍建设，一是合理调控专任教师数量，二是深入推进双师素质提升建设，三是不断加大聘用行业企业现场专家参与专业教学，学院教师队伍结构进一步优化。现有在职教职工573人，专任教师382人，占比66.7%；校内兼课教师71人，经折算后占比3.4%；校外兼职教师348人，经折算后占比32.9%，较2016年25.1%提高近8个百分点。专任教师中，双师素质不断提高，“双师”教师287人，占专任教师的75.13%（学院教师结、双师素质变化如图1-4、1-5所示）</w:t>
      </w:r>
      <w:r>
        <w:rPr>
          <w:rFonts w:hint="eastAsia" w:ascii="宋体" w:hAnsi="宋体"/>
          <w:sz w:val="24"/>
        </w:rPr>
        <w:t>。</w:t>
      </w:r>
    </w:p>
    <w:p>
      <w:pPr>
        <w:spacing w:line="360" w:lineRule="auto"/>
        <w:jc w:val="center"/>
        <w:rPr>
          <w:rFonts w:ascii="宋体" w:hAnsi="宋体"/>
          <w:b/>
          <w:szCs w:val="21"/>
        </w:rPr>
      </w:pPr>
      <w:r>
        <w:drawing>
          <wp:inline distT="0" distB="0" distL="114300" distR="114300">
            <wp:extent cx="4867275" cy="2832100"/>
            <wp:effectExtent l="4445" t="4445" r="5080" b="20955"/>
            <wp:docPr id="1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rFonts w:ascii="宋体" w:hAnsi="宋体"/>
          <w:b/>
          <w:szCs w:val="21"/>
        </w:rPr>
      </w:pPr>
      <w:r>
        <w:rPr>
          <w:rFonts w:hint="eastAsia" w:ascii="宋体" w:hAnsi="宋体"/>
          <w:b/>
          <w:szCs w:val="21"/>
        </w:rPr>
        <w:t>图1-4  学院教师比例变化示意图</w:t>
      </w:r>
    </w:p>
    <w:p>
      <w:pPr>
        <w:jc w:val="right"/>
        <w:rPr>
          <w:rFonts w:ascii="宋体" w:hAnsi="宋体" w:eastAsia="宋体" w:cs="宋体"/>
          <w:b/>
        </w:rPr>
      </w:pPr>
      <w:r>
        <w:rPr>
          <w:rFonts w:hint="eastAsia" w:ascii="宋体" w:hAnsi="宋体" w:eastAsia="宋体" w:cs="宋体"/>
          <w:b/>
        </w:rPr>
        <w:t>数据来源：全国高职院校状态数据采集与管理系统</w:t>
      </w:r>
    </w:p>
    <w:p>
      <w:pPr>
        <w:adjustRightInd w:val="0"/>
        <w:snapToGrid w:val="0"/>
        <w:spacing w:line="360" w:lineRule="auto"/>
        <w:jc w:val="center"/>
        <w:rPr>
          <w:rFonts w:ascii="宋体" w:hAnsi="宋体"/>
          <w:sz w:val="24"/>
        </w:rPr>
      </w:pPr>
      <w:r>
        <w:drawing>
          <wp:inline distT="0" distB="0" distL="114300" distR="114300">
            <wp:extent cx="5036185" cy="2983230"/>
            <wp:effectExtent l="5080" t="4445" r="6985" b="22225"/>
            <wp:docPr id="5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rPr>
          <w:rFonts w:ascii="宋体" w:hAnsi="宋体"/>
          <w:b/>
          <w:szCs w:val="21"/>
        </w:rPr>
      </w:pPr>
      <w:r>
        <w:rPr>
          <w:rFonts w:hint="eastAsia" w:ascii="宋体" w:hAnsi="宋体"/>
          <w:b/>
          <w:szCs w:val="21"/>
        </w:rPr>
        <w:t>图1-5 学院专任教师双师素质比例变化示意图</w:t>
      </w:r>
    </w:p>
    <w:p>
      <w:pPr>
        <w:jc w:val="right"/>
        <w:rPr>
          <w:rFonts w:ascii="宋体" w:hAnsi="宋体"/>
          <w:b/>
          <w:szCs w:val="21"/>
        </w:rPr>
      </w:pPr>
      <w:r>
        <w:rPr>
          <w:rFonts w:hint="eastAsia" w:ascii="宋体" w:hAnsi="宋体"/>
          <w:b/>
          <w:szCs w:val="21"/>
        </w:rPr>
        <w:t>数据来源：全国高职院校状态数据采集与管理系统</w:t>
      </w:r>
    </w:p>
    <w:p>
      <w:pPr>
        <w:pStyle w:val="3"/>
      </w:pPr>
      <w:bookmarkStart w:id="17" w:name="_Toc3050"/>
      <w:bookmarkStart w:id="18" w:name="_Toc2433"/>
      <w:r>
        <w:rPr>
          <w:rFonts w:hint="eastAsia"/>
        </w:rPr>
        <w:t>1.4 实践教学条件建设</w:t>
      </w:r>
      <w:bookmarkEnd w:id="17"/>
      <w:bookmarkEnd w:id="18"/>
    </w:p>
    <w:p>
      <w:pPr>
        <w:adjustRightInd w:val="0"/>
        <w:snapToGrid w:val="0"/>
        <w:spacing w:line="360" w:lineRule="auto"/>
        <w:ind w:firstLine="480" w:firstLineChars="200"/>
        <w:rPr>
          <w:rFonts w:ascii="宋体" w:hAnsi="宋体"/>
          <w:sz w:val="24"/>
        </w:rPr>
      </w:pPr>
      <w:r>
        <w:rPr>
          <w:rFonts w:hint="eastAsia" w:asciiTheme="minorEastAsia" w:hAnsiTheme="minorEastAsia" w:cstheme="minorEastAsia"/>
          <w:sz w:val="24"/>
        </w:rPr>
        <w:t>2017年，持续加大实训条件建设力度，新增755.26万元教学仪器设备，实习实训仪器设备总值达7323.36万元，新增实验实习场所15000平方米，总面积达95718平方米，新增校内实训工位800多个，总数达6300个。在学生规模较快增长的背景下，校内实验实训室130个，生产性实训车间（中心）5个，遴选建设了校外实习实训基地122个。学院实习实训条件能充分满足实践教学需要并处于全省高职院校实训条件优秀水平</w:t>
      </w:r>
      <w:r>
        <w:rPr>
          <w:rFonts w:hint="eastAsia" w:ascii="宋体" w:hAnsi="宋体"/>
          <w:sz w:val="24"/>
        </w:rPr>
        <w:t>。</w:t>
      </w:r>
    </w:p>
    <w:p>
      <w:pPr>
        <w:adjustRightInd w:val="0"/>
        <w:snapToGrid w:val="0"/>
        <w:spacing w:line="360" w:lineRule="auto"/>
        <w:jc w:val="center"/>
        <w:rPr>
          <w:rFonts w:ascii="宋体" w:hAnsi="宋体"/>
          <w:b/>
          <w:sz w:val="24"/>
        </w:rPr>
      </w:pPr>
      <w:r>
        <w:rPr>
          <w:rFonts w:hint="eastAsia" w:ascii="宋体" w:hAnsi="宋体"/>
          <w:b/>
          <w:sz w:val="24"/>
        </w:rPr>
        <w:drawing>
          <wp:inline distT="0" distB="0" distL="114300" distR="114300">
            <wp:extent cx="5268595" cy="2985770"/>
            <wp:effectExtent l="0" t="0" r="8255" b="5080"/>
            <wp:docPr id="13" name="图片 13" descr="QQ截图2017120717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171207172117"/>
                    <pic:cNvPicPr>
                      <a:picLocks noChangeAspect="1"/>
                    </pic:cNvPicPr>
                  </pic:nvPicPr>
                  <pic:blipFill>
                    <a:blip r:embed="rId15"/>
                    <a:stretch>
                      <a:fillRect/>
                    </a:stretch>
                  </pic:blipFill>
                  <pic:spPr>
                    <a:xfrm>
                      <a:off x="0" y="0"/>
                      <a:ext cx="5268595" cy="2985770"/>
                    </a:xfrm>
                    <a:prstGeom prst="rect">
                      <a:avLst/>
                    </a:prstGeom>
                  </pic:spPr>
                </pic:pic>
              </a:graphicData>
            </a:graphic>
          </wp:inline>
        </w:drawing>
      </w:r>
    </w:p>
    <w:p>
      <w:pPr>
        <w:jc w:val="center"/>
        <w:rPr>
          <w:rFonts w:ascii="宋体" w:hAnsi="宋体"/>
          <w:b/>
          <w:szCs w:val="21"/>
        </w:rPr>
      </w:pPr>
      <w:r>
        <w:rPr>
          <w:rFonts w:hint="eastAsia" w:ascii="宋体" w:hAnsi="宋体"/>
          <w:b/>
          <w:szCs w:val="21"/>
        </w:rPr>
        <w:t>图1-6 学院近五年实验实训场所面积情况示意图</w:t>
      </w:r>
    </w:p>
    <w:p>
      <w:pPr>
        <w:jc w:val="right"/>
        <w:rPr>
          <w:rFonts w:ascii="宋体" w:hAnsi="宋体"/>
          <w:b/>
          <w:szCs w:val="21"/>
        </w:rPr>
      </w:pPr>
      <w:r>
        <w:rPr>
          <w:rFonts w:hint="eastAsia" w:ascii="宋体" w:hAnsi="宋体" w:eastAsia="宋体" w:cs="宋体"/>
          <w:b/>
        </w:rPr>
        <w:t>数据来源：全国高职院校状态数据采集与管理系统</w:t>
      </w:r>
    </w:p>
    <w:p>
      <w:pPr>
        <w:spacing w:line="360" w:lineRule="auto"/>
        <w:jc w:val="center"/>
        <w:rPr>
          <w:rFonts w:ascii="宋体" w:hAnsi="宋体"/>
          <w:sz w:val="24"/>
        </w:rPr>
      </w:pPr>
      <w:r>
        <w:rPr>
          <w:rFonts w:hint="eastAsia" w:ascii="宋体" w:hAnsi="宋体"/>
          <w:sz w:val="24"/>
        </w:rPr>
        <w:drawing>
          <wp:inline distT="0" distB="0" distL="114300" distR="114300">
            <wp:extent cx="5200015" cy="2904490"/>
            <wp:effectExtent l="0" t="0" r="635" b="10160"/>
            <wp:docPr id="12" name="图片 12" descr="QQ截图2017120717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171207171321"/>
                    <pic:cNvPicPr>
                      <a:picLocks noChangeAspect="1"/>
                    </pic:cNvPicPr>
                  </pic:nvPicPr>
                  <pic:blipFill>
                    <a:blip r:embed="rId16"/>
                    <a:srcRect l="446" r="904"/>
                    <a:stretch>
                      <a:fillRect/>
                    </a:stretch>
                  </pic:blipFill>
                  <pic:spPr>
                    <a:xfrm>
                      <a:off x="0" y="0"/>
                      <a:ext cx="5200015" cy="2904490"/>
                    </a:xfrm>
                    <a:prstGeom prst="rect">
                      <a:avLst/>
                    </a:prstGeom>
                  </pic:spPr>
                </pic:pic>
              </a:graphicData>
            </a:graphic>
          </wp:inline>
        </w:drawing>
      </w:r>
    </w:p>
    <w:p>
      <w:pPr>
        <w:jc w:val="center"/>
        <w:rPr>
          <w:rFonts w:ascii="宋体" w:hAnsi="宋体"/>
          <w:b/>
          <w:szCs w:val="21"/>
        </w:rPr>
      </w:pPr>
      <w:r>
        <w:rPr>
          <w:rFonts w:hint="eastAsia" w:ascii="宋体" w:hAnsi="宋体"/>
          <w:b/>
          <w:szCs w:val="21"/>
        </w:rPr>
        <w:t>图1-7 学院近五年生均教学仪器设备值增长情况示意图</w:t>
      </w:r>
    </w:p>
    <w:p>
      <w:pPr>
        <w:jc w:val="right"/>
        <w:rPr>
          <w:rFonts w:ascii="宋体" w:hAnsi="宋体" w:eastAsia="宋体" w:cs="宋体"/>
          <w:b/>
        </w:rPr>
      </w:pPr>
      <w:r>
        <w:rPr>
          <w:rFonts w:hint="eastAsia" w:ascii="宋体" w:hAnsi="宋体" w:eastAsia="宋体" w:cs="宋体"/>
          <w:b/>
        </w:rPr>
        <w:t>数据来源：全国高职院校状态数据采集与管理系统</w:t>
      </w:r>
    </w:p>
    <w:p>
      <w:pPr>
        <w:jc w:val="right"/>
        <w:rPr>
          <w:rFonts w:ascii="宋体" w:hAnsi="宋体" w:eastAsia="宋体" w:cs="宋体"/>
          <w:b/>
        </w:rPr>
      </w:pPr>
      <w:r>
        <w:rPr>
          <w:rFonts w:hint="eastAsia" w:ascii="宋体" w:hAnsi="宋体" w:eastAsia="宋体" w:cs="宋体"/>
          <w:b/>
        </w:rPr>
        <w:br w:type="page"/>
      </w:r>
    </w:p>
    <w:p>
      <w:pPr>
        <w:pStyle w:val="3"/>
      </w:pPr>
      <w:bookmarkStart w:id="19" w:name="_Toc19838"/>
      <w:bookmarkStart w:id="20" w:name="_Toc8929"/>
      <w:r>
        <w:rPr>
          <w:rFonts w:hint="eastAsia"/>
        </w:rPr>
        <w:t>1.5 办学声誉</w:t>
      </w:r>
      <w:bookmarkEnd w:id="19"/>
      <w:bookmarkEnd w:id="20"/>
    </w:p>
    <w:p>
      <w:pPr>
        <w:spacing w:line="360" w:lineRule="auto"/>
        <w:ind w:firstLine="480"/>
        <w:rPr>
          <w:rFonts w:ascii="仿宋_GB2312" w:hAnsi="仿宋" w:eastAsia="仿宋_GB2312"/>
          <w:sz w:val="24"/>
        </w:rPr>
      </w:pPr>
      <w:r>
        <w:rPr>
          <w:rFonts w:hint="eastAsia" w:asciiTheme="minorEastAsia" w:hAnsiTheme="minorEastAsia" w:cstheme="minorEastAsia"/>
          <w:sz w:val="24"/>
        </w:rPr>
        <w:t>建校59年来，始终根植化工产业办学，以人才培养为核心，以深化改革为动力，以创卓越、争一流为目标，加快推动内涵发展、特色发展，取得了显著办学成效。学院应用化工技术专业群、信息化教学改革全省示范，就业创业教育、综合治理水平全省领先，是湖南省卓越高职院校、湖南省优秀示范性(骨干)高职院校、湖南省大学生就业创业优秀示范校、湖南省教育信息化创新应用示范学院、湖南省平安高校建设单位、湖南省大众创业万众创新示范基地、中国化工教育协会副会长单位、教育部石油和化工职业教育教学指导委员会副主任单位。先后获全国石油和化学工业先进集体、湖南省职业教育先进单位等荣誉70余项。近三年，学院教师主持项目获教学成果国家级二等奖1项，省级一等奖1项，参加教学竞赛获国家一等奖3项，二等奖3项，省级以上奖励50余项；学生参加各类各类技能竞赛获奖170余项。全国人大常委会原副委员长、中国关工委主任、原化工部部长顾秀莲，全国政协副主席、民盟中央常务副主席陈晓光，全国总工会副主席李世民，省人大副主任李友志等多位国家、省领导多次来我院视察指导工作；办学成效在《光明日报》、《中国教育报》、《湖南日报》、湖南红网、湖南卫视、湖南经视、湖南教育电视台等国家和省级主流媒体报道</w:t>
      </w:r>
      <w:r>
        <w:rPr>
          <w:rFonts w:hint="eastAsia" w:ascii="宋体" w:hAnsi="宋体"/>
          <w:sz w:val="24"/>
        </w:rPr>
        <w:t>。</w:t>
      </w:r>
    </w:p>
    <w:p>
      <w:pPr>
        <w:spacing w:line="360" w:lineRule="auto"/>
        <w:jc w:val="center"/>
        <w:rPr>
          <w:rFonts w:ascii="宋体" w:hAnsi="宋体"/>
          <w:b/>
          <w:szCs w:val="21"/>
        </w:rPr>
      </w:pPr>
      <w:r>
        <w:rPr>
          <w:rFonts w:hint="eastAsia" w:ascii="宋体" w:hAnsi="宋体"/>
          <w:b/>
          <w:szCs w:val="21"/>
        </w:rPr>
        <w:br w:type="page"/>
      </w:r>
    </w:p>
    <w:p>
      <w:pPr>
        <w:spacing w:line="360" w:lineRule="auto"/>
        <w:jc w:val="center"/>
        <w:rPr>
          <w:rFonts w:ascii="宋体" w:hAnsi="宋体"/>
          <w:b/>
          <w:szCs w:val="21"/>
        </w:rPr>
      </w:pPr>
      <w:r>
        <w:rPr>
          <w:rFonts w:hint="eastAsia" w:ascii="宋体" w:hAnsi="宋体"/>
          <w:b/>
          <w:szCs w:val="21"/>
        </w:rPr>
        <w:t>表1-4 学院近年来内涵发展主要成绩一览表（2014—2017年）</w:t>
      </w:r>
    </w:p>
    <w:tbl>
      <w:tblPr>
        <w:tblStyle w:val="18"/>
        <w:tblW w:w="8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5156"/>
        <w:gridCol w:w="91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top w:val="single" w:color="auto" w:sz="12" w:space="0"/>
              <w:left w:val="single" w:color="auto" w:sz="12" w:space="0"/>
              <w:bottom w:val="single" w:color="auto" w:sz="4" w:space="0"/>
            </w:tcBorders>
            <w:shd w:val="clear" w:color="auto" w:fill="FF6600"/>
            <w:vAlign w:val="center"/>
          </w:tcPr>
          <w:p>
            <w:pPr>
              <w:jc w:val="center"/>
              <w:rPr>
                <w:rFonts w:ascii="宋体" w:hAnsi="宋体"/>
                <w:b/>
                <w:sz w:val="24"/>
              </w:rPr>
            </w:pPr>
            <w:r>
              <w:rPr>
                <w:rFonts w:hint="eastAsia" w:asciiTheme="minorEastAsia" w:hAnsiTheme="minorEastAsia" w:cstheme="minorEastAsia"/>
                <w:b/>
              </w:rPr>
              <w:t>序  号</w:t>
            </w:r>
          </w:p>
        </w:tc>
        <w:tc>
          <w:tcPr>
            <w:tcW w:w="5156" w:type="dxa"/>
            <w:tcBorders>
              <w:top w:val="single" w:color="auto" w:sz="12" w:space="0"/>
              <w:bottom w:val="single" w:color="auto" w:sz="4" w:space="0"/>
            </w:tcBorders>
            <w:shd w:val="clear" w:color="auto" w:fill="FF6600"/>
            <w:vAlign w:val="center"/>
          </w:tcPr>
          <w:p>
            <w:pPr>
              <w:jc w:val="center"/>
              <w:rPr>
                <w:rFonts w:ascii="宋体" w:hAnsi="宋体"/>
                <w:b/>
                <w:sz w:val="24"/>
              </w:rPr>
            </w:pPr>
            <w:r>
              <w:rPr>
                <w:rFonts w:hint="eastAsia" w:asciiTheme="minorEastAsia" w:hAnsiTheme="minorEastAsia" w:cstheme="minorEastAsia"/>
                <w:b/>
              </w:rPr>
              <w:t>项 目 名 称</w:t>
            </w:r>
          </w:p>
        </w:tc>
        <w:tc>
          <w:tcPr>
            <w:tcW w:w="915" w:type="dxa"/>
            <w:tcBorders>
              <w:top w:val="single" w:color="auto" w:sz="12" w:space="0"/>
              <w:bottom w:val="single" w:color="auto" w:sz="4" w:space="0"/>
              <w:right w:val="single" w:color="auto" w:sz="12" w:space="0"/>
            </w:tcBorders>
            <w:shd w:val="clear" w:color="auto" w:fill="FF6600"/>
            <w:vAlign w:val="center"/>
          </w:tcPr>
          <w:p>
            <w:pPr>
              <w:jc w:val="center"/>
              <w:rPr>
                <w:rFonts w:ascii="宋体" w:hAnsi="宋体"/>
                <w:b/>
                <w:sz w:val="24"/>
              </w:rPr>
            </w:pPr>
            <w:r>
              <w:rPr>
                <w:rFonts w:hint="eastAsia" w:asciiTheme="minorEastAsia" w:hAnsiTheme="minorEastAsia" w:cstheme="minorEastAsia"/>
                <w:b/>
              </w:rPr>
              <w:t>级  别</w:t>
            </w:r>
          </w:p>
        </w:tc>
        <w:tc>
          <w:tcPr>
            <w:tcW w:w="1635" w:type="dxa"/>
            <w:tcBorders>
              <w:top w:val="single" w:color="auto" w:sz="12" w:space="0"/>
              <w:bottom w:val="single" w:color="auto" w:sz="4" w:space="0"/>
              <w:right w:val="single" w:color="auto" w:sz="12" w:space="0"/>
            </w:tcBorders>
            <w:shd w:val="clear" w:color="auto" w:fill="FF6600"/>
            <w:vAlign w:val="center"/>
          </w:tcPr>
          <w:p>
            <w:pPr>
              <w:jc w:val="center"/>
              <w:rPr>
                <w:rFonts w:ascii="宋体" w:hAnsi="宋体"/>
                <w:b/>
                <w:sz w:val="24"/>
              </w:rPr>
            </w:pPr>
            <w:r>
              <w:rPr>
                <w:rFonts w:hint="eastAsia" w:asciiTheme="minorEastAsia" w:hAnsiTheme="minorEastAsia" w:cstheme="minorEastAsia"/>
                <w:b/>
              </w:rPr>
              <w:t>时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1</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湖南省卓越高职院校</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湖南省示范性（骨干）高职院校验收优秀等级</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3</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湖南省就业创业优秀示范校（首批）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4</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连续四次荣获湖南省普通高校毕业生就业工作“一把手工程”督查优秀单位</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2010—2016年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5</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湖南省大众创业万众创新示范基地（高职院校唯一）</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6</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湖南省教育信息化教学创新应用示范校（首批）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7</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湖南省平安高校建设单位、厅委直属单位综治工作(平安建设)“先进单位”、株洲市“社会管理综合治理先进单位”</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2014-2016年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8</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化工生产技术省级示范性特色专业群（首批）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9</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无机化工企业技术中心</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国家级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10</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立项湖南省科技厅重点项目建设：石化中小企业科技创新服务平台</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2013—2016年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11</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《职业技能竞赛融入高技能人才培养过程的研究与实践》等教学成果二等奖3项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国家级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12</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全国职业院校信息化教学大赛一等奖</w:t>
            </w:r>
            <w:r>
              <w:rPr>
                <w:rFonts w:hint="eastAsia" w:asciiTheme="minorEastAsia" w:hAnsiTheme="minorEastAsia" w:cstheme="minorEastAsia"/>
                <w:lang w:val="en-US" w:eastAsia="zh-CN"/>
              </w:rPr>
              <w:t>2</w:t>
            </w:r>
            <w:r>
              <w:rPr>
                <w:rFonts w:hint="eastAsia" w:asciiTheme="minorEastAsia" w:hAnsiTheme="minorEastAsia" w:cstheme="minorEastAsia"/>
              </w:rPr>
              <w:t>项、二等奖</w:t>
            </w:r>
            <w:r>
              <w:rPr>
                <w:rFonts w:hint="eastAsia" w:asciiTheme="minorEastAsia" w:hAnsiTheme="minorEastAsia" w:cstheme="minorEastAsia"/>
                <w:lang w:val="en-US" w:eastAsia="zh-CN"/>
              </w:rPr>
              <w:t>3</w:t>
            </w:r>
            <w:r>
              <w:rPr>
                <w:rFonts w:hint="eastAsia" w:asciiTheme="minorEastAsia" w:hAnsiTheme="minorEastAsia" w:cstheme="minorEastAsia"/>
              </w:rPr>
              <w:t>项、三等奖</w:t>
            </w:r>
            <w:r>
              <w:rPr>
                <w:rFonts w:hint="eastAsia" w:asciiTheme="minorEastAsia" w:hAnsiTheme="minorEastAsia" w:cstheme="minorEastAsia"/>
                <w:lang w:val="en-US" w:eastAsia="zh-CN"/>
              </w:rPr>
              <w:t>2</w:t>
            </w:r>
            <w:r>
              <w:rPr>
                <w:rFonts w:hint="eastAsia" w:asciiTheme="minorEastAsia" w:hAnsiTheme="minorEastAsia" w:cstheme="minorEastAsia"/>
              </w:rPr>
              <w:t>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国家级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2015</w:t>
            </w:r>
            <w:r>
              <w:rPr>
                <w:rFonts w:hint="eastAsia" w:asciiTheme="minorEastAsia" w:hAnsiTheme="minorEastAsia" w:cstheme="minorEastAsia"/>
                <w:lang w:eastAsia="zh-CN"/>
              </w:rPr>
              <w:t>—</w:t>
            </w:r>
            <w:r>
              <w:rPr>
                <w:rFonts w:hint="eastAsia" w:asciiTheme="minorEastAsia" w:hAnsiTheme="minorEastAsia" w:cstheme="minorEastAsia"/>
              </w:rPr>
              <w:t>201</w:t>
            </w:r>
            <w:r>
              <w:rPr>
                <w:rFonts w:hint="eastAsia" w:asciiTheme="minorEastAsia" w:hAnsiTheme="minorEastAsia" w:cstheme="minorEastAsia"/>
                <w:lang w:val="en-US" w:eastAsia="zh-CN"/>
              </w:rPr>
              <w:t>7</w:t>
            </w:r>
            <w:r>
              <w:rPr>
                <w:rFonts w:hint="eastAsia" w:asciiTheme="minorEastAsia" w:hAnsiTheme="minorEastAsia" w:cstheme="minorEastAsi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13</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立项教育部职业教育信息化教学示范课3门</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国家级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14</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全国职业院校教师微课大赛一等奖1项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国家级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15</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全国职业院校学生技能竞赛一等奖3项、二等奖7项、三等奖11项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国家级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2015-2017年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16</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全国大学生数学建模竞赛团体一等奖3项、二等奖</w:t>
            </w:r>
            <w:r>
              <w:rPr>
                <w:rFonts w:hint="eastAsia" w:asciiTheme="minorEastAsia" w:hAnsiTheme="minorEastAsia" w:cstheme="minorEastAsia"/>
                <w:lang w:val="en-US" w:eastAsia="zh-CN"/>
              </w:rPr>
              <w:t>4</w:t>
            </w:r>
            <w:r>
              <w:rPr>
                <w:rFonts w:hint="eastAsia" w:asciiTheme="minorEastAsia" w:hAnsiTheme="minorEastAsia" w:cstheme="minorEastAsia"/>
              </w:rPr>
              <w:t>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国家级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2014-2017年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17</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工业分析与检验省级校企合作生产性实习实训基地</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Theme="minorEastAsia" w:hAnsiTheme="minorEastAsia" w:cstheme="minorEastAsia"/>
              </w:rPr>
            </w:pPr>
            <w:r>
              <w:rPr>
                <w:rFonts w:hint="eastAsia" w:asciiTheme="minorEastAsia" w:hAnsiTheme="minorEastAsia" w:cstheme="minorEastAsia"/>
              </w:rPr>
              <w:t>18</w:t>
            </w:r>
          </w:p>
        </w:tc>
        <w:tc>
          <w:tcPr>
            <w:tcW w:w="5156" w:type="dxa"/>
            <w:shd w:val="clear" w:color="auto" w:fill="CCFFFF"/>
            <w:vAlign w:val="center"/>
          </w:tcPr>
          <w:p>
            <w:pPr>
              <w:rPr>
                <w:rFonts w:asciiTheme="minorEastAsia" w:hAnsiTheme="minorEastAsia" w:cstheme="minorEastAsia"/>
              </w:rPr>
            </w:pPr>
            <w:r>
              <w:rPr>
                <w:rFonts w:hint="eastAsia" w:asciiTheme="minorEastAsia" w:hAnsiTheme="minorEastAsia" w:cstheme="minorEastAsia"/>
              </w:rPr>
              <w:t>湖南省现代大学制度建设</w:t>
            </w:r>
          </w:p>
        </w:tc>
        <w:tc>
          <w:tcPr>
            <w:tcW w:w="915" w:type="dxa"/>
            <w:tcBorders>
              <w:right w:val="single" w:color="auto" w:sz="12" w:space="0"/>
            </w:tcBorders>
            <w:shd w:val="clear" w:color="auto" w:fill="CCFFFF"/>
            <w:vAlign w:val="center"/>
          </w:tcPr>
          <w:p>
            <w:pPr>
              <w:jc w:val="center"/>
              <w:rPr>
                <w:rFonts w:asciiTheme="minorEastAsia" w:hAnsiTheme="minorEastAsia" w:cstheme="minorEastAsia"/>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Theme="minorEastAsia" w:hAnsiTheme="minorEastAsia" w:cstheme="minorEastAsia"/>
              </w:rPr>
            </w:pPr>
            <w:r>
              <w:rPr>
                <w:rFonts w:hint="eastAsia" w:asciiTheme="minorEastAsia" w:hAnsiTheme="minorEastAsia" w:cstheme="minorEastAsia"/>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Merge w:val="restart"/>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19</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湖南省大学生思想政治教育提升工程项目16项</w:t>
            </w:r>
          </w:p>
        </w:tc>
        <w:tc>
          <w:tcPr>
            <w:tcW w:w="915" w:type="dxa"/>
            <w:vMerge w:val="restart"/>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vMerge w:val="restart"/>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2014—2017年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Merge w:val="continue"/>
            <w:tcBorders>
              <w:left w:val="single" w:color="auto" w:sz="12" w:space="0"/>
            </w:tcBorders>
            <w:shd w:val="clear" w:color="auto" w:fill="CCFFFF"/>
            <w:vAlign w:val="center"/>
          </w:tcPr>
          <w:p>
            <w:pPr>
              <w:jc w:val="center"/>
              <w:rPr>
                <w:rFonts w:ascii="宋体" w:hAnsi="宋体"/>
                <w:sz w:val="24"/>
              </w:rPr>
            </w:pP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其中：大学生思想政治教育示范建设项目2项</w:t>
            </w:r>
          </w:p>
        </w:tc>
        <w:tc>
          <w:tcPr>
            <w:tcW w:w="915" w:type="dxa"/>
            <w:vMerge w:val="continue"/>
            <w:tcBorders>
              <w:right w:val="single" w:color="auto" w:sz="12" w:space="0"/>
            </w:tcBorders>
            <w:shd w:val="clear" w:color="auto" w:fill="CCFFFF"/>
            <w:vAlign w:val="center"/>
          </w:tcPr>
          <w:p>
            <w:pPr>
              <w:jc w:val="center"/>
              <w:rPr>
                <w:rFonts w:ascii="宋体" w:hAnsi="宋体"/>
                <w:sz w:val="24"/>
              </w:rPr>
            </w:pPr>
          </w:p>
        </w:tc>
        <w:tc>
          <w:tcPr>
            <w:tcW w:w="1635" w:type="dxa"/>
            <w:vMerge w:val="continue"/>
            <w:tcBorders>
              <w:right w:val="single" w:color="auto" w:sz="12" w:space="0"/>
            </w:tcBorders>
            <w:shd w:val="clear" w:color="auto" w:fill="CCFFFF"/>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省级自科基金项目7项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Merge w:val="restart"/>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21</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省级以上课题（教育规划、社科基金、科技计划项目等）立项127项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2014—2017年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Merge w:val="continue"/>
            <w:tcBorders>
              <w:left w:val="single" w:color="auto" w:sz="12" w:space="0"/>
            </w:tcBorders>
            <w:shd w:val="clear" w:color="auto" w:fill="CCFFFF"/>
            <w:vAlign w:val="center"/>
          </w:tcPr>
          <w:p>
            <w:pPr>
              <w:jc w:val="center"/>
              <w:rPr>
                <w:rFonts w:ascii="宋体" w:hAnsi="宋体"/>
                <w:sz w:val="24"/>
              </w:rPr>
            </w:pP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其中：教育部教育规划课题1项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国家级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22</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湖南省教育信息化项目（名师空间课堂、示范网络空间、信息化培训基地等）立项45项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2014—2017年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23</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湖南省职业院校信息化教学大赛团体一等奖、个人一等奖16项、二等奖21项、三等奖15项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2014—2017年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24</w:t>
            </w:r>
          </w:p>
        </w:tc>
        <w:tc>
          <w:tcPr>
            <w:tcW w:w="5156" w:type="dxa"/>
            <w:shd w:val="clear" w:color="auto" w:fill="CCFFFF"/>
            <w:vAlign w:val="center"/>
          </w:tcPr>
          <w:p>
            <w:pPr>
              <w:rPr>
                <w:rFonts w:ascii="宋体" w:hAnsi="宋体"/>
                <w:sz w:val="24"/>
              </w:rPr>
            </w:pPr>
            <w:r>
              <w:rPr>
                <w:rFonts w:hint="eastAsia" w:asciiTheme="minorEastAsia" w:hAnsiTheme="minorEastAsia" w:cstheme="minorEastAsia"/>
              </w:rPr>
              <w:t>湖南省高职院校说专业群比赛一等奖1项</w:t>
            </w:r>
          </w:p>
        </w:tc>
        <w:tc>
          <w:tcPr>
            <w:tcW w:w="91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省  级</w:t>
            </w:r>
          </w:p>
        </w:tc>
        <w:tc>
          <w:tcPr>
            <w:tcW w:w="1635" w:type="dxa"/>
            <w:tcBorders>
              <w:right w:val="single" w:color="auto" w:sz="12" w:space="0"/>
            </w:tcBorders>
            <w:shd w:val="clear" w:color="auto" w:fill="CCFFFF"/>
            <w:vAlign w:val="center"/>
          </w:tcPr>
          <w:p>
            <w:pPr>
              <w:jc w:val="center"/>
              <w:rPr>
                <w:rFonts w:ascii="宋体" w:hAnsi="宋体"/>
                <w:sz w:val="24"/>
              </w:rPr>
            </w:pPr>
            <w:r>
              <w:rPr>
                <w:rFonts w:hint="eastAsia" w:asciiTheme="minorEastAsia" w:hAnsiTheme="minorEastAsia" w:cstheme="minorEastAsia"/>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tcBorders>
              <w:left w:val="single" w:color="auto" w:sz="12" w:space="0"/>
              <w:bottom w:val="single" w:color="auto" w:sz="12" w:space="0"/>
            </w:tcBorders>
            <w:shd w:val="clear" w:color="auto" w:fill="CCFFFF"/>
            <w:vAlign w:val="center"/>
          </w:tcPr>
          <w:p>
            <w:pPr>
              <w:jc w:val="center"/>
              <w:rPr>
                <w:rFonts w:asciiTheme="minorEastAsia" w:hAnsiTheme="minorEastAsia" w:cstheme="minorEastAsia"/>
              </w:rPr>
            </w:pPr>
            <w:r>
              <w:rPr>
                <w:rFonts w:hint="eastAsia" w:asciiTheme="minorEastAsia" w:hAnsiTheme="minorEastAsia" w:cstheme="minorEastAsia"/>
              </w:rPr>
              <w:t>25</w:t>
            </w:r>
          </w:p>
        </w:tc>
        <w:tc>
          <w:tcPr>
            <w:tcW w:w="5156" w:type="dxa"/>
            <w:tcBorders>
              <w:bottom w:val="single" w:color="auto" w:sz="12" w:space="0"/>
            </w:tcBorders>
            <w:shd w:val="clear" w:color="auto" w:fill="CCFFFF"/>
            <w:vAlign w:val="center"/>
          </w:tcPr>
          <w:p>
            <w:pPr>
              <w:rPr>
                <w:rFonts w:asciiTheme="minorEastAsia" w:hAnsiTheme="minorEastAsia" w:cstheme="minorEastAsia"/>
              </w:rPr>
            </w:pPr>
            <w:r>
              <w:rPr>
                <w:rFonts w:hint="eastAsia" w:asciiTheme="minorEastAsia" w:hAnsiTheme="minorEastAsia" w:cstheme="minorEastAsia"/>
              </w:rPr>
              <w:t>湖南省高职院校专业课教师说课竞赛一等奖2项</w:t>
            </w:r>
          </w:p>
        </w:tc>
        <w:tc>
          <w:tcPr>
            <w:tcW w:w="915" w:type="dxa"/>
            <w:tcBorders>
              <w:bottom w:val="single" w:color="auto" w:sz="12" w:space="0"/>
              <w:right w:val="single" w:color="auto" w:sz="12" w:space="0"/>
            </w:tcBorders>
            <w:shd w:val="clear" w:color="auto" w:fill="CCFFFF"/>
            <w:vAlign w:val="center"/>
          </w:tcPr>
          <w:p>
            <w:pPr>
              <w:jc w:val="center"/>
              <w:rPr>
                <w:rFonts w:asciiTheme="minorEastAsia" w:hAnsiTheme="minorEastAsia" w:cstheme="minorEastAsia"/>
              </w:rPr>
            </w:pPr>
            <w:r>
              <w:rPr>
                <w:rFonts w:hint="eastAsia" w:asciiTheme="minorEastAsia" w:hAnsiTheme="minorEastAsia" w:cstheme="minorEastAsia"/>
              </w:rPr>
              <w:t>省  级</w:t>
            </w:r>
          </w:p>
        </w:tc>
        <w:tc>
          <w:tcPr>
            <w:tcW w:w="1635" w:type="dxa"/>
            <w:tcBorders>
              <w:bottom w:val="single" w:color="auto" w:sz="12" w:space="0"/>
              <w:right w:val="single" w:color="auto" w:sz="12" w:space="0"/>
            </w:tcBorders>
            <w:shd w:val="clear" w:color="auto" w:fill="CCFFFF"/>
            <w:vAlign w:val="center"/>
          </w:tcPr>
          <w:p>
            <w:pPr>
              <w:jc w:val="center"/>
              <w:rPr>
                <w:rFonts w:asciiTheme="minorEastAsia" w:hAnsiTheme="minorEastAsia" w:cstheme="minorEastAsia"/>
              </w:rPr>
            </w:pPr>
            <w:r>
              <w:rPr>
                <w:rFonts w:hint="eastAsia" w:asciiTheme="minorEastAsia" w:hAnsiTheme="minorEastAsia" w:cstheme="minorEastAsia"/>
              </w:rPr>
              <w:t>2017年</w:t>
            </w:r>
          </w:p>
        </w:tc>
      </w:tr>
    </w:tbl>
    <w:p>
      <w:pPr>
        <w:adjustRightInd w:val="0"/>
        <w:snapToGrid w:val="0"/>
        <w:spacing w:line="360" w:lineRule="auto"/>
        <w:rPr>
          <w:rFonts w:asciiTheme="minorEastAsia" w:hAnsiTheme="minorEastAsia" w:cstheme="minorEastAsia"/>
          <w:sz w:val="28"/>
          <w:szCs w:val="28"/>
        </w:rPr>
      </w:pPr>
      <w:r>
        <w:rPr>
          <w:rFonts w:hint="eastAsia" w:asciiTheme="minorEastAsia" w:hAnsiTheme="minorEastAsia" w:cstheme="minorEastAsia"/>
          <w:sz w:val="28"/>
          <w:szCs w:val="28"/>
        </w:rPr>
        <w:br w:type="page"/>
      </w:r>
    </w:p>
    <w:p>
      <w:pPr>
        <w:pStyle w:val="2"/>
        <w:rPr>
          <w:rFonts w:hint="default"/>
        </w:rPr>
      </w:pPr>
      <w:bookmarkStart w:id="21" w:name="_Toc20058"/>
      <w:r>
        <w:t>2 学生发展</w:t>
      </w:r>
      <w:bookmarkEnd w:id="21"/>
    </w:p>
    <w:p>
      <w:pPr>
        <w:pStyle w:val="3"/>
      </w:pPr>
      <w:bookmarkStart w:id="22" w:name="_Toc9093"/>
      <w:bookmarkStart w:id="23" w:name="_Toc30420"/>
      <w:r>
        <w:rPr>
          <w:rFonts w:hint="eastAsia"/>
        </w:rPr>
        <w:t>2.1 就业质量</w:t>
      </w:r>
      <w:bookmarkEnd w:id="22"/>
      <w:bookmarkEnd w:id="23"/>
    </w:p>
    <w:p>
      <w:pPr>
        <w:adjustRightInd w:val="0"/>
        <w:snapToGrid w:val="0"/>
        <w:spacing w:line="360" w:lineRule="auto"/>
        <w:ind w:firstLine="480" w:firstLineChars="200"/>
        <w:rPr>
          <w:rFonts w:ascii="宋体" w:hAnsi="宋体"/>
          <w:sz w:val="24"/>
        </w:rPr>
      </w:pPr>
      <w:r>
        <w:rPr>
          <w:rFonts w:hint="eastAsia" w:ascii="宋体" w:hAnsi="宋体"/>
          <w:sz w:val="24"/>
        </w:rPr>
        <w:t>学院高度重视大学生就业创业工作，坚持就业导向，努力开拓就业市场，使毕业生好就业、就好业。学院采取了多项有效措施，有效保证了毕业生就业率和就业质量。学院已连续四届荣获湖南省普通高校就业创业工作“一把手工程”督查优秀单位，2013年被评为首批湖南省大学生就业创业示范校，2016年获评首批省“双创”示范基地和省大学生创新创业孵化示范基地。2017年学院毕业生就业工作与往年相比呈现出四大亮点：</w:t>
      </w:r>
    </w:p>
    <w:p>
      <w:pPr>
        <w:adjustRightInd w:val="0"/>
        <w:snapToGrid w:val="0"/>
        <w:spacing w:line="360" w:lineRule="auto"/>
        <w:ind w:firstLine="482" w:firstLineChars="200"/>
        <w:rPr>
          <w:rFonts w:ascii="宋体" w:hAnsi="宋体"/>
          <w:sz w:val="24"/>
        </w:rPr>
      </w:pPr>
      <w:r>
        <w:rPr>
          <w:rFonts w:hint="eastAsia" w:ascii="宋体" w:hAnsi="宋体"/>
          <w:b/>
          <w:bCs/>
          <w:sz w:val="24"/>
        </w:rPr>
        <w:t>一是来校招聘用人单位参会数量、质量和层次，都达到历史新高。</w:t>
      </w:r>
      <w:r>
        <w:rPr>
          <w:rFonts w:hint="eastAsia" w:ascii="宋体" w:hAnsi="宋体"/>
          <w:sz w:val="24"/>
        </w:rPr>
        <w:t>招聘单位达700余家，其中世界500强企业23家，中国500强企业45家，提供岗位数总计28000多个，毕业生人均岗位数超过10个。</w:t>
      </w:r>
    </w:p>
    <w:p>
      <w:pPr>
        <w:adjustRightInd w:val="0"/>
        <w:snapToGrid w:val="0"/>
        <w:spacing w:line="360" w:lineRule="auto"/>
        <w:ind w:firstLine="482" w:firstLineChars="200"/>
        <w:rPr>
          <w:rFonts w:ascii="宋体" w:hAnsi="宋体"/>
          <w:sz w:val="24"/>
        </w:rPr>
      </w:pPr>
      <w:r>
        <w:rPr>
          <w:rFonts w:hint="eastAsia" w:ascii="宋体" w:hAnsi="宋体"/>
          <w:b/>
          <w:bCs/>
          <w:sz w:val="24"/>
        </w:rPr>
        <w:t>二是就业服务与专业建设结合更紧密。</w:t>
      </w:r>
      <w:r>
        <w:rPr>
          <w:rFonts w:hint="eastAsia" w:ascii="宋体" w:hAnsi="宋体"/>
          <w:sz w:val="24"/>
        </w:rPr>
        <w:t>学院坚持用人单位考察与专业建设调研相结合，毕业生供需见面会与“三年不断线”的就业创业教育课相结合，用人单位到校选才与洽谈后续订单培养、产学研合作项目相结合，使就业服务工作成为了一个推进产教深度融合、创新校企合作新模式的新平台，进一步增强了校企合作持续推进的内生力，形成了良性循环。</w:t>
      </w:r>
    </w:p>
    <w:p>
      <w:pPr>
        <w:adjustRightInd w:val="0"/>
        <w:snapToGrid w:val="0"/>
        <w:spacing w:line="360" w:lineRule="auto"/>
        <w:ind w:firstLine="482" w:firstLineChars="200"/>
        <w:rPr>
          <w:rFonts w:ascii="宋体" w:hAnsi="宋体"/>
          <w:sz w:val="24"/>
        </w:rPr>
      </w:pPr>
      <w:r>
        <w:rPr>
          <w:rFonts w:hint="eastAsia" w:ascii="宋体" w:hAnsi="宋体"/>
          <w:b/>
          <w:bCs/>
          <w:sz w:val="24"/>
        </w:rPr>
        <w:t>三是开展精准就业服务。</w:t>
      </w:r>
      <w:r>
        <w:rPr>
          <w:rFonts w:hint="eastAsia" w:ascii="宋体" w:hAnsi="宋体"/>
          <w:sz w:val="24"/>
        </w:rPr>
        <w:t>学院充分利用校园网、QQ、短信、微信等多种新媒体渠道，搭建供需平台，实现学生与用人单位精准对接。就业指导与服务重心下移，形成了二级学院院长、党总支书记齐抓共管，专业负责人成为就业工作核心骨干，班主任、任课教师齐发力，学生就业定位更切合实际，选择用人单位更切合自身特点、更精确，一次性签约率显著提高。</w:t>
      </w:r>
    </w:p>
    <w:p>
      <w:pPr>
        <w:adjustRightInd w:val="0"/>
        <w:snapToGrid w:val="0"/>
        <w:spacing w:line="360" w:lineRule="auto"/>
        <w:ind w:firstLine="482" w:firstLineChars="200"/>
        <w:rPr>
          <w:rFonts w:ascii="宋体" w:hAnsi="宋体"/>
          <w:sz w:val="24"/>
        </w:rPr>
      </w:pPr>
      <w:r>
        <w:rPr>
          <w:rFonts w:hint="eastAsia" w:ascii="宋体" w:hAnsi="宋体"/>
          <w:b/>
          <w:bCs/>
          <w:sz w:val="24"/>
        </w:rPr>
        <w:t>四是构建了“一二三四”特殊群体就业帮扶特色工作体系</w:t>
      </w:r>
      <w:r>
        <w:rPr>
          <w:rFonts w:hint="eastAsia" w:ascii="宋体" w:hAnsi="宋体"/>
          <w:sz w:val="24"/>
        </w:rPr>
        <w:t>（一个目标：实现特殊学生群体的充分就业、满意就业；二大举措：就业推荐、创业扶植并举；三个结合：“输血式”资助与“造血式”帮扶相结合、“扶贫”与“扶志”相结合、一对一帮扶和团队帮扶相结合；四个到位：思想认识到位、帮扶资金到位、心理辅导到位、就业指导到位），力促困难毕业生充分就业、满意就业。</w:t>
      </w:r>
    </w:p>
    <w:p>
      <w:pPr>
        <w:pStyle w:val="4"/>
        <w:spacing w:before="156" w:after="156"/>
        <w:ind w:firstLine="562"/>
        <w:rPr>
          <w:color w:val="000000" w:themeColor="text1"/>
        </w:rPr>
      </w:pPr>
      <w:bookmarkStart w:id="24" w:name="_Toc1955"/>
      <w:bookmarkStart w:id="25" w:name="_Toc30872"/>
      <w:r>
        <w:rPr>
          <w:rFonts w:hint="eastAsia"/>
          <w:color w:val="000000" w:themeColor="text1"/>
        </w:rPr>
        <w:t>（1）毕业生就业率长期维持高位并持续上升</w:t>
      </w:r>
      <w:bookmarkEnd w:id="24"/>
      <w:bookmarkEnd w:id="25"/>
    </w:p>
    <w:p>
      <w:pPr>
        <w:adjustRightInd w:val="0"/>
        <w:snapToGrid w:val="0"/>
        <w:spacing w:line="360" w:lineRule="auto"/>
        <w:ind w:firstLine="480" w:firstLineChars="200"/>
        <w:rPr>
          <w:rFonts w:ascii="宋体" w:hAnsi="宋体"/>
          <w:sz w:val="24"/>
        </w:rPr>
      </w:pPr>
      <w:r>
        <w:rPr>
          <w:rFonts w:hint="eastAsia" w:ascii="宋体" w:hAnsi="宋体"/>
          <w:sz w:val="24"/>
        </w:rPr>
        <w:t>学院毕业生整体就业落实情况较好，近六届毕业生的就业率整体较为稳定并持续上升。2017届毕业生就业率高达97.86%，较学院2016届毕业生提高4.72个百分点。据全国高职院校状态数据采集与管理系统和湖南省大中专毕业生就业指导中心数据显示：我院2017届毕业生就业率高于全省高职院校平均就业率5.16个百分点（见图2-1）。</w:t>
      </w:r>
    </w:p>
    <w:p>
      <w:pPr>
        <w:adjustRightInd w:val="0"/>
        <w:snapToGrid w:val="0"/>
        <w:spacing w:line="360" w:lineRule="auto"/>
        <w:jc w:val="center"/>
        <w:rPr>
          <w:rFonts w:ascii="宋体" w:hAnsi="宋体"/>
          <w:sz w:val="24"/>
        </w:rPr>
      </w:pPr>
      <w:r>
        <w:drawing>
          <wp:inline distT="0" distB="0" distL="114300" distR="114300">
            <wp:extent cx="5030470" cy="2743200"/>
            <wp:effectExtent l="4445" t="4445" r="13335" b="14605"/>
            <wp:docPr id="133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jc w:val="center"/>
        <w:rPr>
          <w:rFonts w:ascii="宋体" w:hAnsi="宋体"/>
          <w:b/>
          <w:szCs w:val="21"/>
        </w:rPr>
      </w:pPr>
      <w:r>
        <w:rPr>
          <w:rFonts w:hint="eastAsia" w:ascii="宋体" w:hAnsi="宋体"/>
          <w:b/>
          <w:szCs w:val="21"/>
        </w:rPr>
        <w:t>图2-1 学院毕业生就业率变化示意图</w:t>
      </w:r>
    </w:p>
    <w:p>
      <w:pPr>
        <w:jc w:val="right"/>
        <w:rPr>
          <w:rFonts w:ascii="宋体" w:hAnsi="宋体"/>
          <w:b/>
          <w:szCs w:val="21"/>
        </w:rPr>
      </w:pPr>
      <w:r>
        <w:rPr>
          <w:rFonts w:hint="eastAsia" w:ascii="宋体" w:hAnsi="宋体"/>
          <w:b/>
          <w:szCs w:val="21"/>
        </w:rPr>
        <w:t>数据来源：全国高职院校状态数据采集与管理系统、湖南省大中专毕业生就业指导中心</w:t>
      </w:r>
    </w:p>
    <w:p>
      <w:pPr>
        <w:pStyle w:val="4"/>
        <w:spacing w:before="156" w:after="156"/>
        <w:ind w:firstLine="0" w:firstLineChars="0"/>
        <w:rPr>
          <w:color w:val="000000" w:themeColor="text1"/>
        </w:rPr>
      </w:pPr>
      <w:bookmarkStart w:id="26" w:name="_Toc15770"/>
      <w:bookmarkStart w:id="27" w:name="_Toc21933"/>
      <w:r>
        <w:rPr>
          <w:rFonts w:hint="eastAsia"/>
          <w:color w:val="000000" w:themeColor="text1"/>
        </w:rPr>
        <w:t>【典型案例1】湖南省化工行业2018届高校毕业生供需见面会在我校举行</w:t>
      </w:r>
      <w:bookmarkEnd w:id="26"/>
      <w:bookmarkEnd w:id="27"/>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12月2日，湖南省化工行业2018届高校毕业生供需见面会暨湖南化工职业技术学院2018届毕业生、株洲市职业教育协会（产教融合联盟）供需见面会在我校新校区举行。本次供需见面会共有700余家用人单位来校招贤纳士，为毕业生提供就业岗位数28000余个，供需见面会现场气氛热烈，人潮涌动。今年10月以来，我校还举办了60余场专场招聘会，为毕业生提供了4000余个就业岗位，实现了校园招聘常态化。“我们可选的企业和岗位更多了，企业提供的薪资和专业对口率更高了！”这是今年供需见面会后毕业生们的普遍反映。参加本次供需见面会的用人单位也对我校的毕业生竖起了大拇指：“湖南化工职院培养出来的学生我们都抢着要！”。</w:t>
      </w:r>
    </w:p>
    <w:p>
      <w:pPr>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4762500" cy="2752725"/>
            <wp:effectExtent l="0" t="0" r="0" b="9525"/>
            <wp:docPr id="2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IMG_256"/>
                    <pic:cNvPicPr>
                      <a:picLocks noChangeAspect="1"/>
                    </pic:cNvPicPr>
                  </pic:nvPicPr>
                  <pic:blipFill>
                    <a:blip r:embed="rId18"/>
                    <a:stretch>
                      <a:fillRect/>
                    </a:stretch>
                  </pic:blipFill>
                  <pic:spPr>
                    <a:xfrm>
                      <a:off x="0" y="0"/>
                      <a:ext cx="4762500" cy="2752725"/>
                    </a:xfrm>
                    <a:prstGeom prst="rect">
                      <a:avLst/>
                    </a:prstGeom>
                    <a:noFill/>
                    <a:ln w="9525">
                      <a:noFill/>
                    </a:ln>
                  </pic:spPr>
                </pic:pic>
              </a:graphicData>
            </a:graphic>
          </wp:inline>
        </w:drawing>
      </w:r>
    </w:p>
    <w:p>
      <w:pPr>
        <w:spacing w:line="360" w:lineRule="auto"/>
        <w:jc w:val="center"/>
        <w:rPr>
          <w:rFonts w:ascii="宋体" w:hAnsi="宋体" w:eastAsia="宋体" w:cs="宋体"/>
          <w:sz w:val="24"/>
        </w:rPr>
      </w:pPr>
      <w:r>
        <w:rPr>
          <w:rFonts w:hint="eastAsia" w:ascii="宋体" w:hAnsi="宋体"/>
          <w:b/>
          <w:szCs w:val="21"/>
        </w:rPr>
        <w:t>图2-2 学院2018届毕业生供需见面会火爆现场</w:t>
      </w:r>
    </w:p>
    <w:p>
      <w:pPr>
        <w:pStyle w:val="13"/>
        <w:widowControl/>
        <w:shd w:val="clear" w:color="auto" w:fill="FFFFFF"/>
        <w:spacing w:beforeAutospacing="0" w:afterAutospacing="0"/>
        <w:jc w:val="center"/>
        <w:rPr>
          <w:rFonts w:ascii="微软雅黑" w:hAnsi="微软雅黑" w:eastAsia="微软雅黑" w:cs="微软雅黑"/>
          <w:color w:val="454545"/>
          <w:sz w:val="21"/>
          <w:szCs w:val="21"/>
        </w:rPr>
      </w:pPr>
      <w:r>
        <w:rPr>
          <w:rFonts w:hint="eastAsia" w:ascii="微软雅黑" w:hAnsi="微软雅黑" w:eastAsia="微软雅黑" w:cs="微软雅黑"/>
          <w:sz w:val="21"/>
          <w:szCs w:val="21"/>
          <w:shd w:val="clear" w:color="auto" w:fill="FFFFFF"/>
        </w:rPr>
        <w:drawing>
          <wp:inline distT="0" distB="0" distL="114300" distR="114300">
            <wp:extent cx="4762500" cy="3486150"/>
            <wp:effectExtent l="0" t="0" r="0" b="0"/>
            <wp:docPr id="25" name="图片 6" descr="DSC_905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DSC_9056"/>
                    <pic:cNvPicPr>
                      <a:picLocks noChangeAspect="1"/>
                    </pic:cNvPicPr>
                  </pic:nvPicPr>
                  <pic:blipFill>
                    <a:blip r:embed="rId20"/>
                    <a:stretch>
                      <a:fillRect/>
                    </a:stretch>
                  </pic:blipFill>
                  <pic:spPr>
                    <a:xfrm>
                      <a:off x="0" y="0"/>
                      <a:ext cx="4762500" cy="3486150"/>
                    </a:xfrm>
                    <a:prstGeom prst="rect">
                      <a:avLst/>
                    </a:prstGeom>
                    <a:noFill/>
                    <a:ln w="9525">
                      <a:noFill/>
                    </a:ln>
                  </pic:spPr>
                </pic:pic>
              </a:graphicData>
            </a:graphic>
          </wp:inline>
        </w:drawing>
      </w:r>
    </w:p>
    <w:p>
      <w:pPr>
        <w:pStyle w:val="13"/>
        <w:widowControl/>
        <w:shd w:val="clear" w:color="auto" w:fill="FFFFFF"/>
        <w:jc w:val="center"/>
        <w:rPr>
          <w:rFonts w:ascii="宋体" w:hAnsi="宋体"/>
          <w:b/>
          <w:szCs w:val="21"/>
        </w:rPr>
      </w:pPr>
      <w:r>
        <w:rPr>
          <w:rFonts w:hint="eastAsia" w:ascii="宋体" w:hAnsi="宋体"/>
          <w:b/>
          <w:szCs w:val="21"/>
        </w:rPr>
        <w:t>图2-3 省教育厅及学院领导现场指导学生就业</w:t>
      </w:r>
    </w:p>
    <w:p>
      <w:pPr>
        <w:pStyle w:val="4"/>
        <w:spacing w:before="156" w:after="156"/>
        <w:ind w:firstLine="0" w:firstLineChars="0"/>
        <w:rPr>
          <w:color w:val="000000" w:themeColor="text1"/>
        </w:rPr>
      </w:pPr>
      <w:bookmarkStart w:id="28" w:name="_Toc19613"/>
      <w:bookmarkStart w:id="29" w:name="_Toc1234"/>
      <w:r>
        <w:rPr>
          <w:rFonts w:hint="eastAsia"/>
          <w:color w:val="000000" w:themeColor="text1"/>
        </w:rPr>
        <w:t>【典型案例2】“就业帮帮团”，当好毕业学生的“红娘”</w:t>
      </w:r>
      <w:bookmarkEnd w:id="28"/>
      <w:bookmarkEnd w:id="29"/>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既能在课堂上上好课，还能帮毕业学生找一份好工作。在近日举办的全省化工行业2018届高校毕业生供需见面会上，一支由湖南化工职业技术学院的班主任、辅导员、老师组成的“就业帮帮团”引起了大家的注意，他们极力向招聘企业推荐自己的学生，搭建起了学生和企业之间的沟通“桥梁”。这支由班主任牵头组建的学生“就业帮帮团”共有六人，包括了专业课教师、辅导员和毕业设计指导教师。为了更好地帮助毕业生就业，他们通过了解企业用人意向，主动向企业推介毕业生，积极构架校企沟通的桥梁。除了当“红娘”，他们还把企业的需求反馈到学院，作为调整专业设置、教学计划和课程设置的依据。</w:t>
      </w:r>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化学工程学院应用化工技术专业曹传戎和黄远志同学均来自湖南农村贫困家庭。其中，曹传戎因肿瘤复发做了截肢手术，黄远志则在十一二岁时身高停止了发育，身高只有140mm左右。在校期间，两人学习都非常认真，均排名班级前10。而且曹传戎还是班长，中共预备党员，工作认真负责，深受师生好评。尽管如此，他们就业路却并非一帆风顺，求职时多次被用人单位婉拒。针对这种情况，12月1日，隆平副校长在招生就业处进行现场办公，明确曹传戎同学的就业帮扶由化学工程学院党总支副书记温拥军同志亲自负责，并将签约情况及时向招生就业处和她本人报告。化学工程学院领导和老师更是高度重视，专门组成了教师帮帮团，为他们出谋划策，推荐他们去心仪的用人单位，最终两人分别成功签约广州仙施生物科技有限公司和浙江卫星石化有限公司。</w:t>
      </w:r>
    </w:p>
    <w:p>
      <w:pPr>
        <w:pStyle w:val="13"/>
        <w:widowControl/>
        <w:shd w:val="clear" w:color="auto" w:fill="FFFFFF"/>
        <w:spacing w:beforeAutospacing="0" w:afterAutospacing="0" w:line="384" w:lineRule="atLeast"/>
        <w:jc w:val="center"/>
        <w:rPr>
          <w:rFonts w:hint="eastAsia" w:ascii="-apple-system-font" w:hAnsi="-apple-system-font" w:eastAsia="宋体" w:cs="-apple-system-font"/>
          <w:color w:val="3E3E3E"/>
        </w:rPr>
      </w:pPr>
      <w:r>
        <w:rPr>
          <w:rFonts w:hint="eastAsia" w:ascii="-apple-system-font" w:hAnsi="-apple-system-font" w:eastAsia="宋体" w:cs="-apple-system-font"/>
          <w:color w:val="3E3E3E"/>
        </w:rPr>
        <w:drawing>
          <wp:inline distT="0" distB="0" distL="114300" distR="114300">
            <wp:extent cx="4535170" cy="3559175"/>
            <wp:effectExtent l="0" t="0" r="17780" b="3175"/>
            <wp:docPr id="28" name="图片 28" descr="QQ截图201712131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171213182405"/>
                    <pic:cNvPicPr>
                      <a:picLocks noChangeAspect="1"/>
                    </pic:cNvPicPr>
                  </pic:nvPicPr>
                  <pic:blipFill>
                    <a:blip r:embed="rId21"/>
                    <a:stretch>
                      <a:fillRect/>
                    </a:stretch>
                  </pic:blipFill>
                  <pic:spPr>
                    <a:xfrm>
                      <a:off x="0" y="0"/>
                      <a:ext cx="4535170" cy="3559175"/>
                    </a:xfrm>
                    <a:prstGeom prst="rect">
                      <a:avLst/>
                    </a:prstGeom>
                  </pic:spPr>
                </pic:pic>
              </a:graphicData>
            </a:graphic>
          </wp:inline>
        </w:drawing>
      </w:r>
    </w:p>
    <w:p>
      <w:pPr>
        <w:pStyle w:val="13"/>
        <w:widowControl/>
        <w:shd w:val="clear" w:color="auto" w:fill="FFFFFF"/>
        <w:spacing w:beforeAutospacing="0" w:afterAutospacing="0" w:line="384" w:lineRule="atLeast"/>
        <w:jc w:val="center"/>
        <w:rPr>
          <w:rFonts w:ascii="宋体" w:hAnsi="宋体" w:cstheme="minorBidi"/>
          <w:b/>
          <w:kern w:val="2"/>
          <w:sz w:val="21"/>
          <w:szCs w:val="21"/>
        </w:rPr>
      </w:pPr>
      <w:r>
        <w:rPr>
          <w:rFonts w:hint="eastAsia" w:ascii="宋体" w:hAnsi="宋体" w:cstheme="minorBidi"/>
          <w:b/>
          <w:kern w:val="2"/>
          <w:sz w:val="21"/>
          <w:szCs w:val="21"/>
        </w:rPr>
        <w:t>图2-4 就业帮帮团成员陈文娟老师在供需见面会现场接收媒体采访</w:t>
      </w:r>
    </w:p>
    <w:p>
      <w:pPr>
        <w:pStyle w:val="13"/>
        <w:widowControl/>
        <w:shd w:val="clear" w:color="auto" w:fill="FFFFFF"/>
        <w:spacing w:beforeAutospacing="0" w:afterAutospacing="0" w:line="384" w:lineRule="atLeast"/>
        <w:jc w:val="center"/>
        <w:rPr>
          <w:rFonts w:ascii="宋体" w:hAnsi="宋体" w:cstheme="minorBidi"/>
          <w:b/>
          <w:kern w:val="2"/>
          <w:sz w:val="21"/>
          <w:szCs w:val="21"/>
        </w:rPr>
      </w:pPr>
      <w:r>
        <w:rPr>
          <w:rFonts w:hint="eastAsia" w:ascii="宋体" w:hAnsi="宋体" w:cstheme="minorBidi"/>
          <w:b/>
          <w:kern w:val="2"/>
          <w:sz w:val="21"/>
          <w:szCs w:val="21"/>
        </w:rPr>
        <w:drawing>
          <wp:inline distT="0" distB="0" distL="114300" distR="114300">
            <wp:extent cx="4272915" cy="3177540"/>
            <wp:effectExtent l="0" t="0" r="13335" b="3810"/>
            <wp:docPr id="34" name="图片 34" descr="QQ截图2017121318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171213183358"/>
                    <pic:cNvPicPr>
                      <a:picLocks noChangeAspect="1"/>
                    </pic:cNvPicPr>
                  </pic:nvPicPr>
                  <pic:blipFill>
                    <a:blip r:embed="rId22"/>
                    <a:stretch>
                      <a:fillRect/>
                    </a:stretch>
                  </pic:blipFill>
                  <pic:spPr>
                    <a:xfrm>
                      <a:off x="0" y="0"/>
                      <a:ext cx="4272915" cy="3177540"/>
                    </a:xfrm>
                    <a:prstGeom prst="rect">
                      <a:avLst/>
                    </a:prstGeom>
                  </pic:spPr>
                </pic:pic>
              </a:graphicData>
            </a:graphic>
          </wp:inline>
        </w:drawing>
      </w:r>
    </w:p>
    <w:p>
      <w:pPr>
        <w:pStyle w:val="13"/>
        <w:widowControl/>
        <w:shd w:val="clear" w:color="auto" w:fill="FFFFFF"/>
        <w:spacing w:beforeAutospacing="0" w:afterAutospacing="0" w:line="384" w:lineRule="atLeast"/>
        <w:jc w:val="center"/>
        <w:rPr>
          <w:rFonts w:ascii="宋体" w:hAnsi="宋体" w:cstheme="minorBidi"/>
          <w:b/>
          <w:kern w:val="2"/>
          <w:sz w:val="21"/>
          <w:szCs w:val="21"/>
        </w:rPr>
      </w:pPr>
      <w:r>
        <w:rPr>
          <w:rFonts w:hint="eastAsia" w:ascii="宋体" w:hAnsi="宋体" w:cstheme="minorBidi"/>
          <w:b/>
          <w:kern w:val="2"/>
          <w:sz w:val="21"/>
          <w:szCs w:val="21"/>
        </w:rPr>
        <w:t>图2-5学院老师向用单位推荐曹传戎就业</w:t>
      </w:r>
    </w:p>
    <w:p>
      <w:pPr>
        <w:pStyle w:val="4"/>
        <w:spacing w:before="156" w:after="156"/>
        <w:ind w:firstLine="562"/>
        <w:rPr>
          <w:color w:val="000000" w:themeColor="text1"/>
        </w:rPr>
      </w:pPr>
      <w:bookmarkStart w:id="30" w:name="_Toc934"/>
      <w:bookmarkStart w:id="31" w:name="_Toc23890"/>
      <w:r>
        <w:rPr>
          <w:rFonts w:hint="eastAsia"/>
          <w:color w:val="000000" w:themeColor="text1"/>
        </w:rPr>
        <w:t>（2）人才培养质量得到了用人单位和毕业生本人的高度认可</w:t>
      </w:r>
      <w:bookmarkEnd w:id="30"/>
      <w:bookmarkEnd w:id="31"/>
    </w:p>
    <w:p>
      <w:pPr>
        <w:adjustRightInd w:val="0"/>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一是用人单位对学院毕业生满意度高。学院近五届毕业生的用人单位满意度整体呈上升趋势，且均高于全国和湖南省高职平均水平。2017届毕业生用人单位满意度为97.79%，比本校2013届高出6.46个百分点、较全省2017届毕业生用人单位满意度高6.73个百分点</w:t>
      </w:r>
      <w:r>
        <w:rPr>
          <w:rFonts w:hint="eastAsia" w:ascii="宋体" w:hAnsi="宋体"/>
          <w:sz w:val="24"/>
        </w:rPr>
        <w:t>（见图2-6）</w:t>
      </w:r>
      <w:r>
        <w:rPr>
          <w:rFonts w:hint="eastAsia" w:ascii="宋体" w:hAnsi="宋体"/>
          <w:color w:val="000000" w:themeColor="text1"/>
          <w:sz w:val="24"/>
        </w:rPr>
        <w:t>。</w:t>
      </w:r>
    </w:p>
    <w:p>
      <w:pPr>
        <w:adjustRightInd w:val="0"/>
        <w:snapToGrid w:val="0"/>
        <w:spacing w:line="360" w:lineRule="auto"/>
        <w:jc w:val="center"/>
        <w:rPr>
          <w:rFonts w:ascii="宋体" w:hAnsi="宋体"/>
          <w:sz w:val="24"/>
        </w:rPr>
      </w:pPr>
      <w:r>
        <w:drawing>
          <wp:inline distT="0" distB="0" distL="114300" distR="114300">
            <wp:extent cx="5090795" cy="2577465"/>
            <wp:effectExtent l="4445" t="4445" r="10160" b="8890"/>
            <wp:docPr id="133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center"/>
        <w:rPr>
          <w:rFonts w:ascii="宋体" w:hAnsi="宋体"/>
          <w:b/>
          <w:szCs w:val="21"/>
        </w:rPr>
      </w:pPr>
      <w:r>
        <w:rPr>
          <w:rFonts w:hint="eastAsia" w:ascii="宋体" w:hAnsi="宋体"/>
          <w:b/>
          <w:szCs w:val="21"/>
        </w:rPr>
        <w:t>图2-6 用人单位对学院毕业生满意度变化示意图</w:t>
      </w:r>
    </w:p>
    <w:p>
      <w:pPr>
        <w:jc w:val="right"/>
        <w:rPr>
          <w:rFonts w:ascii="宋体" w:hAnsi="宋体"/>
          <w:b/>
          <w:szCs w:val="21"/>
        </w:rPr>
      </w:pPr>
      <w:r>
        <w:rPr>
          <w:rFonts w:hint="eastAsia" w:ascii="宋体" w:hAnsi="宋体"/>
          <w:b/>
          <w:szCs w:val="21"/>
        </w:rPr>
        <w:t>数据来源：全国高职院校状态数据采集与管理系统</w:t>
      </w:r>
    </w:p>
    <w:p>
      <w:pPr>
        <w:adjustRightInd w:val="0"/>
        <w:snapToGrid w:val="0"/>
        <w:spacing w:line="360" w:lineRule="auto"/>
        <w:ind w:firstLine="480" w:firstLineChars="200"/>
        <w:rPr>
          <w:rFonts w:ascii="宋体" w:hAnsi="宋体"/>
          <w:color w:val="FF0000"/>
          <w:sz w:val="24"/>
        </w:rPr>
      </w:pPr>
      <w:r>
        <w:rPr>
          <w:rFonts w:hint="eastAsia" w:ascii="宋体" w:hAnsi="宋体"/>
          <w:color w:val="000000" w:themeColor="text1"/>
          <w:sz w:val="24"/>
        </w:rPr>
        <w:t>二是毕业生对母校满意度高。麦可思调查数据显示：学院毕业生对学院人才培养工作、就业指导服务、校园文化等均给予了高度评价，随着学院近年来持续加强内涵水平建设，评价结果正不断攀升</w:t>
      </w:r>
      <w:r>
        <w:rPr>
          <w:rFonts w:hint="eastAsia" w:ascii="宋体" w:hAnsi="宋体"/>
          <w:sz w:val="24"/>
        </w:rPr>
        <w:t>（见图2-7）</w:t>
      </w:r>
      <w:r>
        <w:rPr>
          <w:rFonts w:hint="eastAsia" w:ascii="宋体" w:hAnsi="宋体"/>
          <w:color w:val="000000" w:themeColor="text1"/>
          <w:sz w:val="24"/>
        </w:rPr>
        <w:t>。</w:t>
      </w:r>
    </w:p>
    <w:p>
      <w:pPr>
        <w:spacing w:line="360" w:lineRule="auto"/>
        <w:jc w:val="center"/>
      </w:pPr>
      <w:r>
        <w:drawing>
          <wp:inline distT="0" distB="0" distL="114300" distR="114300">
            <wp:extent cx="5189855" cy="2493645"/>
            <wp:effectExtent l="4445" t="4445" r="6350" b="16510"/>
            <wp:docPr id="134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360" w:lineRule="auto"/>
        <w:jc w:val="center"/>
        <w:rPr>
          <w:rFonts w:ascii="宋体" w:hAnsi="宋体"/>
          <w:b/>
          <w:szCs w:val="21"/>
        </w:rPr>
      </w:pPr>
      <w:r>
        <w:rPr>
          <w:rFonts w:hint="eastAsia" w:ascii="宋体" w:hAnsi="宋体"/>
          <w:b/>
          <w:szCs w:val="21"/>
        </w:rPr>
        <w:t>图2-7 学院毕业生对母校满意度变化示意图</w:t>
      </w:r>
    </w:p>
    <w:p>
      <w:pPr>
        <w:jc w:val="right"/>
        <w:rPr>
          <w:rFonts w:ascii="宋体" w:hAnsi="宋体"/>
          <w:b/>
          <w:szCs w:val="21"/>
        </w:rPr>
      </w:pPr>
      <w:r>
        <w:rPr>
          <w:rFonts w:hint="eastAsia" w:ascii="宋体" w:hAnsi="宋体"/>
          <w:b/>
          <w:szCs w:val="21"/>
        </w:rPr>
        <w:t>数据来源：麦可思——湖南化工职业技术学院应届毕业生培养质量评价报告（2017）</w:t>
      </w:r>
    </w:p>
    <w:p>
      <w:pPr>
        <w:pStyle w:val="4"/>
        <w:spacing w:before="156" w:after="156"/>
        <w:ind w:firstLine="562"/>
        <w:rPr>
          <w:color w:val="000000" w:themeColor="text1"/>
        </w:rPr>
      </w:pPr>
      <w:bookmarkStart w:id="32" w:name="趋势图_就业现状满意度"/>
      <w:bookmarkEnd w:id="32"/>
      <w:bookmarkStart w:id="33" w:name="_Toc1061"/>
      <w:bookmarkStart w:id="34" w:name="_Toc16532"/>
      <w:r>
        <w:rPr>
          <w:rFonts w:hint="eastAsia"/>
          <w:color w:val="000000" w:themeColor="text1"/>
        </w:rPr>
        <w:t>（3）毕业生薪资水平持续较高</w:t>
      </w:r>
      <w:bookmarkEnd w:id="33"/>
      <w:bookmarkEnd w:id="34"/>
    </w:p>
    <w:p>
      <w:pPr>
        <w:adjustRightInd w:val="0"/>
        <w:snapToGrid w:val="0"/>
        <w:spacing w:line="360" w:lineRule="auto"/>
        <w:ind w:firstLine="480" w:firstLineChars="200"/>
        <w:rPr>
          <w:rFonts w:ascii="宋体" w:hAnsi="宋体"/>
          <w:sz w:val="24"/>
        </w:rPr>
      </w:pPr>
      <w:r>
        <w:rPr>
          <w:rFonts w:hint="eastAsia" w:ascii="宋体" w:hAnsi="宋体"/>
          <w:sz w:val="24"/>
        </w:rPr>
        <w:t>学院近五届毕业生月收入水平呈上升趋势，并明显高于全国高职院校平均水平。2017届毕业生的起薪月收入为3979元，较本校2016届（3897元）稍有增长，较2013届毕业生起薪点高669元（见图2-8）。其中，学院2017届毕业生起薪月收入较高的专业是焊接技术及自动化（4857元）、工业过程自动化（4857元）、高分子材料工程技术（4832元）、计算机类（4791元）、化工类（4763元）。</w:t>
      </w:r>
    </w:p>
    <w:p>
      <w:pPr>
        <w:jc w:val="center"/>
        <w:rPr>
          <w:rFonts w:ascii="Calibri" w:hAnsi="Calibri" w:cs="Courier New"/>
          <w:szCs w:val="21"/>
        </w:rPr>
      </w:pPr>
      <w:r>
        <w:drawing>
          <wp:inline distT="0" distB="0" distL="114300" distR="114300">
            <wp:extent cx="5099685" cy="2743200"/>
            <wp:effectExtent l="4445" t="4445" r="20320" b="14605"/>
            <wp:docPr id="133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jc w:val="center"/>
        <w:rPr>
          <w:rFonts w:ascii="宋体" w:hAnsi="宋体"/>
          <w:b/>
          <w:szCs w:val="21"/>
        </w:rPr>
      </w:pPr>
      <w:bookmarkStart w:id="35" w:name="_Toc455392335"/>
      <w:bookmarkStart w:id="36" w:name="_Toc447710720"/>
      <w:bookmarkStart w:id="37" w:name="_Toc452477193"/>
      <w:bookmarkStart w:id="38" w:name="_Toc447118618"/>
      <w:bookmarkStart w:id="39" w:name="_Toc452740113"/>
      <w:bookmarkStart w:id="40" w:name="_Toc448151691"/>
      <w:bookmarkStart w:id="41" w:name="_Toc453918299"/>
      <w:bookmarkStart w:id="42" w:name="_Toc447804398"/>
      <w:r>
        <w:rPr>
          <w:rFonts w:hint="eastAsia" w:ascii="宋体" w:hAnsi="宋体"/>
          <w:b/>
          <w:szCs w:val="21"/>
        </w:rPr>
        <w:t>图2-8 近五年学院与全国高职院校应届毕业生平均起薪点变化</w:t>
      </w:r>
      <w:bookmarkEnd w:id="35"/>
      <w:bookmarkEnd w:id="36"/>
      <w:bookmarkEnd w:id="37"/>
      <w:bookmarkEnd w:id="38"/>
      <w:bookmarkEnd w:id="39"/>
      <w:bookmarkEnd w:id="40"/>
      <w:bookmarkEnd w:id="41"/>
      <w:bookmarkEnd w:id="42"/>
      <w:r>
        <w:rPr>
          <w:rFonts w:hint="eastAsia" w:ascii="宋体" w:hAnsi="宋体"/>
          <w:b/>
          <w:szCs w:val="21"/>
        </w:rPr>
        <w:t>示意图</w:t>
      </w:r>
    </w:p>
    <w:p>
      <w:pPr>
        <w:jc w:val="right"/>
        <w:rPr>
          <w:rFonts w:ascii="宋体" w:hAnsi="宋体"/>
          <w:b/>
          <w:szCs w:val="21"/>
        </w:rPr>
      </w:pPr>
      <w:r>
        <w:rPr>
          <w:rFonts w:hint="eastAsia" w:ascii="宋体" w:hAnsi="宋体"/>
          <w:b/>
          <w:szCs w:val="21"/>
        </w:rPr>
        <w:t>数据来源：麦可思——湖南化工职业技术学院应届毕业生培养质量评价报告（2017）</w:t>
      </w:r>
    </w:p>
    <w:p>
      <w:pPr>
        <w:pStyle w:val="3"/>
      </w:pPr>
      <w:bookmarkStart w:id="43" w:name="_Toc13530"/>
      <w:bookmarkStart w:id="44" w:name="_Toc23650"/>
      <w:r>
        <w:rPr>
          <w:rFonts w:hint="eastAsia"/>
        </w:rPr>
        <w:t>2.2 职业发展</w:t>
      </w:r>
      <w:bookmarkEnd w:id="43"/>
      <w:bookmarkEnd w:id="44"/>
    </w:p>
    <w:p>
      <w:pPr>
        <w:pStyle w:val="4"/>
        <w:spacing w:before="156" w:after="156"/>
        <w:ind w:firstLine="562"/>
        <w:rPr>
          <w:color w:val="000000" w:themeColor="text1"/>
        </w:rPr>
      </w:pPr>
      <w:bookmarkStart w:id="45" w:name="_Toc5228"/>
      <w:bookmarkStart w:id="46" w:name="_Toc9047"/>
      <w:r>
        <w:rPr>
          <w:rFonts w:hint="eastAsia"/>
          <w:color w:val="000000" w:themeColor="text1"/>
        </w:rPr>
        <w:t>（1）毕业三年后月收入增长较快</w:t>
      </w:r>
      <w:bookmarkEnd w:id="45"/>
      <w:bookmarkEnd w:id="46"/>
    </w:p>
    <w:p>
      <w:pPr>
        <w:adjustRightInd w:val="0"/>
        <w:snapToGrid w:val="0"/>
        <w:spacing w:line="360" w:lineRule="auto"/>
        <w:ind w:firstLine="480"/>
        <w:rPr>
          <w:rFonts w:asciiTheme="minorEastAsia" w:hAnsiTheme="minorEastAsia" w:cstheme="minorEastAsia"/>
          <w:sz w:val="24"/>
        </w:rPr>
      </w:pPr>
      <w:r>
        <w:rPr>
          <w:rFonts w:hint="eastAsia" w:asciiTheme="minorEastAsia" w:hAnsiTheme="minorEastAsia" w:cstheme="minorEastAsia"/>
          <w:sz w:val="24"/>
        </w:rPr>
        <w:t>通过抽样调查发现：学院2012—2014届高职毕业生毕业三年后月收入均明显增长，其中2014届毕业生毕业三年后月收入达5137元（抽样调查人数150人，有效数据116人），与毕业当年相比，增幅达33.4%</w:t>
      </w:r>
      <w:r>
        <w:rPr>
          <w:rFonts w:hint="eastAsia" w:ascii="宋体" w:hAnsi="宋体"/>
          <w:sz w:val="24"/>
        </w:rPr>
        <w:t>（见图2-9）</w:t>
      </w:r>
      <w:r>
        <w:rPr>
          <w:rFonts w:hint="eastAsia" w:asciiTheme="minorEastAsia" w:hAnsiTheme="minorEastAsia" w:cstheme="minorEastAsia"/>
          <w:sz w:val="24"/>
        </w:rPr>
        <w:t>。且远远高于全省高职院校平均水平（湖南省2012届、2013届高职毕业生毕业三年后月收入分别为3818元、4245元）。</w:t>
      </w:r>
    </w:p>
    <w:p>
      <w:pPr>
        <w:adjustRightInd w:val="0"/>
        <w:snapToGrid w:val="0"/>
        <w:spacing w:line="360" w:lineRule="auto"/>
        <w:jc w:val="center"/>
      </w:pPr>
      <w:r>
        <w:drawing>
          <wp:inline distT="0" distB="0" distL="114300" distR="114300">
            <wp:extent cx="4953000" cy="2501265"/>
            <wp:effectExtent l="4445" t="4445" r="14605" b="8890"/>
            <wp:docPr id="134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jc w:val="center"/>
        <w:rPr>
          <w:rFonts w:ascii="宋体" w:hAnsi="宋体"/>
          <w:b/>
          <w:szCs w:val="21"/>
        </w:rPr>
      </w:pPr>
      <w:r>
        <w:rPr>
          <w:rFonts w:hint="eastAsia" w:ascii="宋体" w:hAnsi="宋体"/>
          <w:b/>
          <w:szCs w:val="21"/>
        </w:rPr>
        <w:t>图2-9 学院2012—2014届毕业生毕业三年后收月收入变化示意图</w:t>
      </w:r>
    </w:p>
    <w:p>
      <w:pPr>
        <w:jc w:val="right"/>
        <w:rPr>
          <w:rFonts w:ascii="宋体" w:hAnsi="宋体"/>
          <w:b/>
          <w:szCs w:val="21"/>
        </w:rPr>
      </w:pPr>
      <w:r>
        <w:rPr>
          <w:rFonts w:hint="eastAsia" w:ascii="宋体" w:hAnsi="宋体"/>
          <w:b/>
          <w:szCs w:val="21"/>
        </w:rPr>
        <w:t>数据来源：学院2015—2017年毕业生抽样跟踪调查数据（招就处）</w:t>
      </w:r>
    </w:p>
    <w:p>
      <w:pPr>
        <w:pStyle w:val="4"/>
        <w:spacing w:before="156" w:after="156"/>
        <w:ind w:firstLine="562"/>
        <w:rPr>
          <w:color w:val="000000" w:themeColor="text1"/>
        </w:rPr>
      </w:pPr>
      <w:bookmarkStart w:id="47" w:name="_Toc63"/>
      <w:bookmarkStart w:id="48" w:name="_Toc17824"/>
      <w:r>
        <w:rPr>
          <w:rFonts w:hint="eastAsia"/>
          <w:color w:val="000000" w:themeColor="text1"/>
        </w:rPr>
        <w:t>（2）毕业生职业发展通道顺畅</w:t>
      </w:r>
      <w:bookmarkEnd w:id="47"/>
      <w:bookmarkEnd w:id="48"/>
    </w:p>
    <w:p>
      <w:pPr>
        <w:adjustRightInd w:val="0"/>
        <w:snapToGrid w:val="0"/>
        <w:spacing w:line="360" w:lineRule="auto"/>
        <w:ind w:firstLine="480"/>
        <w:rPr>
          <w:rFonts w:asciiTheme="minorEastAsia" w:hAnsiTheme="minorEastAsia" w:cstheme="minorEastAsia"/>
          <w:sz w:val="24"/>
        </w:rPr>
      </w:pPr>
      <w:r>
        <w:rPr>
          <w:rFonts w:hint="eastAsia" w:asciiTheme="minorEastAsia" w:hAnsiTheme="minorEastAsia" w:cstheme="minorEastAsia"/>
          <w:sz w:val="24"/>
        </w:rPr>
        <w:t>基于学院毕业生就业管业相关度高、职业吻合度高、收入高的良好基础，毕业生就业稳定率长期保持较高水平。用人单位反馈信息显示：学院毕业生在用人单位</w:t>
      </w:r>
      <w:r>
        <w:rPr>
          <w:rFonts w:hint="eastAsia" w:asciiTheme="minorEastAsia" w:hAnsiTheme="minorEastAsia" w:cstheme="minorEastAsia"/>
          <w:b/>
          <w:bCs/>
          <w:sz w:val="24"/>
        </w:rPr>
        <w:t>在留得下、稳得住、上的来，</w:t>
      </w:r>
      <w:r>
        <w:rPr>
          <w:rFonts w:hint="eastAsia" w:asciiTheme="minorEastAsia" w:hAnsiTheme="minorEastAsia" w:cstheme="minorEastAsia"/>
          <w:sz w:val="24"/>
        </w:rPr>
        <w:t>相当比例毕业生也已成为单位骨干、中层管理人员。以2014届毕业生为例，抽样调查数据显示：我院2014届毕业生毕业后三年内有较高比例有过职位晋升的学生比例高达72.41%，三年内有过两次以上职位晋升的比例达46.69%。同时，在有过职位晋升的毕业生中，更大比例人员晋升到生产技术岗位</w:t>
      </w:r>
      <w:r>
        <w:rPr>
          <w:rFonts w:hint="eastAsia" w:ascii="宋体" w:hAnsi="宋体"/>
          <w:sz w:val="24"/>
        </w:rPr>
        <w:t>（见图2-10）</w:t>
      </w:r>
      <w:r>
        <w:rPr>
          <w:rFonts w:hint="eastAsia" w:asciiTheme="minorEastAsia" w:hAnsiTheme="minorEastAsia" w:cstheme="minorEastAsia"/>
          <w:sz w:val="24"/>
        </w:rPr>
        <w:t>。</w:t>
      </w:r>
    </w:p>
    <w:p>
      <w:pPr>
        <w:adjustRightInd w:val="0"/>
        <w:snapToGrid w:val="0"/>
        <w:spacing w:line="360" w:lineRule="auto"/>
        <w:jc w:val="center"/>
      </w:pPr>
      <w:r>
        <w:drawing>
          <wp:inline distT="0" distB="0" distL="114300" distR="114300">
            <wp:extent cx="5031105" cy="2743200"/>
            <wp:effectExtent l="4445" t="4445" r="12700" b="1460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center"/>
        <w:rPr>
          <w:rFonts w:ascii="宋体" w:hAnsi="宋体"/>
          <w:b/>
          <w:szCs w:val="21"/>
        </w:rPr>
      </w:pPr>
      <w:r>
        <w:rPr>
          <w:rFonts w:hint="eastAsia" w:ascii="宋体" w:hAnsi="宋体"/>
          <w:b/>
          <w:szCs w:val="21"/>
        </w:rPr>
        <w:t>图2-10 学院2013、2014届毕业生毕业三年内职位晋升情况示意图</w:t>
      </w:r>
    </w:p>
    <w:p>
      <w:pPr>
        <w:jc w:val="right"/>
        <w:rPr>
          <w:rFonts w:ascii="宋体" w:hAnsi="宋体"/>
          <w:b/>
          <w:szCs w:val="21"/>
        </w:rPr>
      </w:pPr>
      <w:r>
        <w:rPr>
          <w:rFonts w:hint="eastAsia" w:ascii="宋体" w:hAnsi="宋体"/>
          <w:b/>
          <w:szCs w:val="21"/>
        </w:rPr>
        <w:t>数据来源：学院2015—2017年毕业生抽样跟踪调查数据（招就处）</w:t>
      </w:r>
    </w:p>
    <w:p>
      <w:pPr>
        <w:adjustRightInd w:val="0"/>
        <w:snapToGrid w:val="0"/>
        <w:spacing w:line="360" w:lineRule="auto"/>
        <w:ind w:firstLine="480"/>
        <w:rPr>
          <w:rFonts w:asciiTheme="minorEastAsia" w:hAnsiTheme="minorEastAsia" w:cstheme="minorEastAsia"/>
          <w:b/>
          <w:bCs/>
          <w:szCs w:val="21"/>
        </w:rPr>
      </w:pPr>
    </w:p>
    <w:p>
      <w:pPr>
        <w:adjustRightInd w:val="0"/>
        <w:snapToGrid w:val="0"/>
        <w:spacing w:line="360" w:lineRule="auto"/>
        <w:ind w:firstLine="480"/>
        <w:rPr>
          <w:rFonts w:asciiTheme="minorEastAsia" w:hAnsiTheme="minorEastAsia" w:cstheme="minorEastAsia"/>
          <w:szCs w:val="21"/>
        </w:rPr>
      </w:pPr>
      <w:r>
        <w:rPr>
          <w:rFonts w:hint="eastAsia" w:asciiTheme="minorEastAsia" w:hAnsiTheme="minorEastAsia" w:cstheme="minorEastAsia"/>
          <w:szCs w:val="21"/>
        </w:rPr>
        <w:t>注：2012、2013届毕业生抽样调查将职位晋升明确为：岗位职务晋升和职业资格晋升，2014届毕业生抽样调查按教育部文件要求，扩大了职位晋升的范围，因此，一是数据出现较大增长，二是不方便与前两届毕业生进行对比（2014届毕业生抽样人数140人，有效数据116人，图中相关比例的计算以116人基准）。</w:t>
      </w:r>
    </w:p>
    <w:p>
      <w:pPr>
        <w:jc w:val="left"/>
        <w:rPr>
          <w:rFonts w:ascii="宋体" w:hAnsi="宋体"/>
          <w:b/>
          <w:szCs w:val="21"/>
        </w:rPr>
      </w:pPr>
    </w:p>
    <w:p>
      <w:pPr>
        <w:pStyle w:val="4"/>
        <w:spacing w:before="156" w:after="156"/>
        <w:ind w:firstLine="0" w:firstLineChars="0"/>
        <w:rPr>
          <w:color w:val="000000" w:themeColor="text1"/>
        </w:rPr>
      </w:pPr>
      <w:bookmarkStart w:id="49" w:name="_Toc26232"/>
      <w:bookmarkStart w:id="50" w:name="_Toc15971"/>
      <w:r>
        <w:rPr>
          <w:rFonts w:hint="eastAsia"/>
          <w:color w:val="000000" w:themeColor="text1"/>
        </w:rPr>
        <w:t>【典型案例3】湖南化工职院优秀校友榜</w:t>
      </w:r>
      <w:bookmarkEnd w:id="49"/>
      <w:bookmarkEnd w:id="50"/>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邓金周：精细化工专业1997届学生，现任湖南海利集团嘧啶车间主任兼第三党支部书记。他出色地完成了推进甲嘧产品技术进步及各项生产工作任务。他所负责的嘧啶车间成绩斐然，现已发展成为亚洲最大的羟基嘧啶类产品生产装置。</w:t>
      </w:r>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刘健：数控技术专业2010届学生，就职于楚天科技股份有限公司。在2014年长沙市“五一”国际劳动节暨劳动模范表彰大会上，刘健获2014年长沙市劳动模范称号。刘健担任数控铣工以来，从一名大学生成长为数控铣工高级技工。在大学期间，他曾获2009年全国职业院校技能大赛第二名。</w:t>
      </w:r>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杨鹏：精细化学品生产技术专业2011届毕业生，广东省美容美发化妆品协会副会长、广东省湖南商会化妆品协会副会长、拥有八家工贸公司的集团董事长。2013年杨鹏利用积累的少量资金，大胆开始做化妆品品牌。不到一年，他的面膜出货达到每个月1000万片的天量，成为市场上不可忽视的新生力量。2015年，杨鹏立即启动第二次转型。升级厂房装修、购置进口先进设备、百万高薪聘请技术大拿、与高校成立联合实验室、首批获得生产许可证单位、发明专利授权、高新技术企业认定……杨鹏的梦采生物公司给人惊喜不断，迅速向化妆品龙头企业看齐。磨刀不误砍柴工，由于管理严格，质量优良，万宁、屈臣氏、沃尔玛等国际大公司相继成为合作单位。</w:t>
      </w:r>
    </w:p>
    <w:p>
      <w:pPr>
        <w:pStyle w:val="3"/>
      </w:pPr>
      <w:bookmarkStart w:id="51" w:name="_Toc14857"/>
      <w:bookmarkStart w:id="52" w:name="_Toc1742"/>
      <w:r>
        <w:rPr>
          <w:rFonts w:hint="eastAsia"/>
        </w:rPr>
        <w:t>2.3 学生素质</w:t>
      </w:r>
      <w:bookmarkEnd w:id="51"/>
      <w:bookmarkEnd w:id="52"/>
    </w:p>
    <w:p>
      <w:pPr>
        <w:pStyle w:val="4"/>
        <w:spacing w:before="156" w:after="156"/>
        <w:ind w:firstLine="562"/>
        <w:rPr>
          <w:color w:val="000000" w:themeColor="text1"/>
        </w:rPr>
      </w:pPr>
      <w:bookmarkStart w:id="53" w:name="_Toc19963"/>
      <w:bookmarkStart w:id="54" w:name="_Toc30068"/>
      <w:r>
        <w:rPr>
          <w:rFonts w:hint="eastAsia"/>
          <w:color w:val="000000" w:themeColor="text1"/>
        </w:rPr>
        <w:t>（1）专业技能水平高</w:t>
      </w:r>
      <w:bookmarkEnd w:id="53"/>
      <w:bookmarkEnd w:id="54"/>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学院创新实施了技能训练和竞赛“三进三融合”工作机制，</w:t>
      </w:r>
      <w:r>
        <w:rPr>
          <w:rFonts w:hint="eastAsia" w:ascii="宋体" w:hAnsi="宋体"/>
          <w:sz w:val="24"/>
        </w:rPr>
        <w:t>通过技能节、技能竞赛、技能抽查等形式检验教师教育教学水平，激发学生学习和掌握技能的动力，营造职业能力培养的良好氛围，孕育了一种生机勃勃的竞技文化，提高了学生的综合素质和职业技能水平。</w:t>
      </w:r>
      <w:r>
        <w:rPr>
          <w:rFonts w:hint="eastAsia" w:ascii="宋体" w:hAnsi="宋体"/>
          <w:color w:val="000000"/>
          <w:sz w:val="24"/>
        </w:rPr>
        <w:t>2017年，组织学生参加行业和省级以上技能竞赛30余项，其中个人93项，获奖人次273人次（见图2-11）。学生参加2017年省级技能抽查和毕业设计抽查成绩优秀。学院2017届毕业生2478人，获得职业资格证书2478人，获证率100%，其中获得高级资格证书217人（见图2-12）。</w:t>
      </w:r>
    </w:p>
    <w:p>
      <w:pPr>
        <w:snapToGrid w:val="0"/>
        <w:spacing w:line="360" w:lineRule="auto"/>
        <w:jc w:val="center"/>
      </w:pPr>
      <w:r>
        <w:drawing>
          <wp:inline distT="0" distB="0" distL="114300" distR="114300">
            <wp:extent cx="4917440" cy="2431415"/>
            <wp:effectExtent l="5080" t="4445" r="11430" b="21590"/>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jc w:val="center"/>
        <w:rPr>
          <w:rFonts w:ascii="宋体" w:hAnsi="宋体"/>
          <w:b/>
          <w:szCs w:val="21"/>
        </w:rPr>
      </w:pPr>
      <w:r>
        <w:rPr>
          <w:rFonts w:hint="eastAsia" w:ascii="宋体" w:hAnsi="宋体"/>
          <w:b/>
          <w:szCs w:val="21"/>
        </w:rPr>
        <w:t>图2-11 学院近五年省级以上学生技能竞赛获奖情况示意图</w:t>
      </w:r>
    </w:p>
    <w:p>
      <w:pPr>
        <w:jc w:val="right"/>
        <w:rPr>
          <w:rFonts w:ascii="宋体" w:hAnsi="宋体"/>
          <w:b/>
          <w:szCs w:val="21"/>
        </w:rPr>
      </w:pPr>
      <w:r>
        <w:rPr>
          <w:rFonts w:hint="eastAsia" w:ascii="宋体" w:hAnsi="宋体"/>
          <w:b/>
          <w:szCs w:val="21"/>
        </w:rPr>
        <w:t>数据来源：学院2013—2017年学生技能竞赛表彰文件（教务处）</w:t>
      </w:r>
    </w:p>
    <w:p>
      <w:pPr>
        <w:snapToGrid w:val="0"/>
        <w:spacing w:line="360" w:lineRule="auto"/>
        <w:jc w:val="center"/>
      </w:pPr>
      <w:r>
        <w:drawing>
          <wp:inline distT="0" distB="0" distL="114300" distR="114300">
            <wp:extent cx="5048250" cy="2157730"/>
            <wp:effectExtent l="4445" t="4445" r="14605" b="9525"/>
            <wp:docPr id="1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jc w:val="center"/>
        <w:rPr>
          <w:rFonts w:ascii="宋体" w:hAnsi="宋体"/>
          <w:b/>
          <w:szCs w:val="21"/>
        </w:rPr>
      </w:pPr>
      <w:r>
        <w:rPr>
          <w:rFonts w:hint="eastAsia" w:ascii="宋体" w:hAnsi="宋体"/>
          <w:b/>
          <w:szCs w:val="21"/>
        </w:rPr>
        <w:t>图2-12 学院近五年毕业生获得高级职业资格情况示意图</w:t>
      </w:r>
    </w:p>
    <w:p>
      <w:pPr>
        <w:jc w:val="right"/>
        <w:rPr>
          <w:rFonts w:ascii="宋体" w:hAnsi="宋体"/>
          <w:b/>
          <w:szCs w:val="21"/>
        </w:rPr>
      </w:pPr>
      <w:r>
        <w:rPr>
          <w:rFonts w:hint="eastAsia" w:ascii="宋体" w:hAnsi="宋体"/>
          <w:b/>
          <w:szCs w:val="21"/>
        </w:rPr>
        <w:t>数据来源：学院职业资格鉴定中心</w:t>
      </w:r>
    </w:p>
    <w:p>
      <w:pPr>
        <w:snapToGrid w:val="0"/>
        <w:spacing w:line="360" w:lineRule="auto"/>
        <w:jc w:val="center"/>
      </w:pPr>
    </w:p>
    <w:p>
      <w:pPr>
        <w:pStyle w:val="4"/>
        <w:spacing w:before="156" w:after="156"/>
        <w:ind w:firstLine="0" w:firstLineChars="0"/>
        <w:rPr>
          <w:color w:val="000000" w:themeColor="text1"/>
        </w:rPr>
      </w:pPr>
      <w:bookmarkStart w:id="55" w:name="_Toc22411"/>
      <w:bookmarkStart w:id="56" w:name="_Toc23636"/>
      <w:r>
        <w:rPr>
          <w:rFonts w:hint="eastAsia"/>
          <w:color w:val="000000" w:themeColor="text1"/>
        </w:rPr>
        <w:t>【典型案例4】学生参加全国技能竞赛摘金夺银</w:t>
      </w:r>
      <w:bookmarkEnd w:id="55"/>
      <w:bookmarkEnd w:id="56"/>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在2017年全国职业院校学生技能大赛中，我校李瑜龙、唐美霞、贺名嘉三位选手组成的参赛团队，李峻、夏央、陈园园、龙素琴4位选手组成的参赛团队经过激烈的角逐，从全国数百只竞争队伍中脱颖而出，分别荣获化工生产技术赛项（高职组）团体一等奖、互联网＋国际贸易综合技能赛项一等奖。同时，李瑜龙同学因总成绩优秀，获得了大赛中仅有2个名额的技师职业资格。</w:t>
      </w:r>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同时，我院其他比赛也均获得骄人的成绩。以商学院为例：除获得“互联网+国际贸易综合技能”赛项获得全国职业院校技能竞赛一等奖外，“英语口语”赛项获得湖南省职业院校技能竞赛一等奖，“会计”赛项和“互联网+国际贸易综合技能”获得湖南省职业院校技能竞赛二等奖，“市场营销”赛项获得湖南省职业院校技能竞赛三等奖，“畅想杯”全国会计技能大赛出纳赛项获得团体一等奖；全国POCIB外贸从业能力竞赛获得团体一等奖1项，团体二等奖2项……</w:t>
      </w:r>
    </w:p>
    <w:p>
      <w:pPr>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4382135" cy="3286760"/>
            <wp:effectExtent l="0" t="0" r="18415" b="8890"/>
            <wp:docPr id="3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IMG_256"/>
                    <pic:cNvPicPr>
                      <a:picLocks noChangeAspect="1"/>
                    </pic:cNvPicPr>
                  </pic:nvPicPr>
                  <pic:blipFill>
                    <a:blip r:embed="rId30"/>
                    <a:stretch>
                      <a:fillRect/>
                    </a:stretch>
                  </pic:blipFill>
                  <pic:spPr>
                    <a:xfrm>
                      <a:off x="0" y="0"/>
                      <a:ext cx="4382135" cy="3286760"/>
                    </a:xfrm>
                    <a:prstGeom prst="rect">
                      <a:avLst/>
                    </a:prstGeom>
                    <a:noFill/>
                    <a:ln w="9525">
                      <a:noFill/>
                    </a:ln>
                  </pic:spPr>
                </pic:pic>
              </a:graphicData>
            </a:graphic>
          </wp:inline>
        </w:drawing>
      </w:r>
    </w:p>
    <w:p>
      <w:pPr>
        <w:spacing w:line="360" w:lineRule="auto"/>
        <w:jc w:val="center"/>
        <w:rPr>
          <w:rFonts w:ascii="宋体" w:hAnsi="宋体"/>
          <w:b/>
          <w:szCs w:val="21"/>
        </w:rPr>
      </w:pPr>
      <w:r>
        <w:rPr>
          <w:rFonts w:hint="eastAsia" w:ascii="宋体" w:hAnsi="宋体"/>
          <w:b/>
          <w:szCs w:val="21"/>
        </w:rPr>
        <w:t>图2-13 学生荣获全国职业院校学生技能大赛化工生产技术赛项团体一等奖</w:t>
      </w:r>
    </w:p>
    <w:p>
      <w:pPr>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4477385" cy="3071495"/>
            <wp:effectExtent l="0" t="0" r="18415" b="14605"/>
            <wp:docPr id="3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IMG_256"/>
                    <pic:cNvPicPr>
                      <a:picLocks noChangeAspect="1"/>
                    </pic:cNvPicPr>
                  </pic:nvPicPr>
                  <pic:blipFill>
                    <a:blip r:embed="rId31"/>
                    <a:stretch>
                      <a:fillRect/>
                    </a:stretch>
                  </pic:blipFill>
                  <pic:spPr>
                    <a:xfrm>
                      <a:off x="0" y="0"/>
                      <a:ext cx="4477385" cy="3071495"/>
                    </a:xfrm>
                    <a:prstGeom prst="rect">
                      <a:avLst/>
                    </a:prstGeom>
                    <a:noFill/>
                    <a:ln w="9525">
                      <a:noFill/>
                    </a:ln>
                  </pic:spPr>
                </pic:pic>
              </a:graphicData>
            </a:graphic>
          </wp:inline>
        </w:drawing>
      </w:r>
    </w:p>
    <w:p>
      <w:pPr>
        <w:spacing w:line="360" w:lineRule="auto"/>
        <w:jc w:val="center"/>
        <w:rPr>
          <w:rFonts w:ascii="宋体" w:hAnsi="宋体"/>
          <w:b/>
          <w:szCs w:val="21"/>
        </w:rPr>
      </w:pPr>
      <w:r>
        <w:rPr>
          <w:rFonts w:hint="eastAsia" w:ascii="宋体" w:hAnsi="宋体"/>
          <w:b/>
          <w:szCs w:val="21"/>
        </w:rPr>
        <w:t>图2-14 学生荣获全国职业院校学生技能大赛互联网＋国际贸易综合技能赛项团体一等奖</w:t>
      </w:r>
    </w:p>
    <w:p>
      <w:pPr>
        <w:pStyle w:val="4"/>
        <w:spacing w:before="156" w:after="156"/>
        <w:ind w:firstLine="562"/>
        <w:rPr>
          <w:color w:val="000000" w:themeColor="text1"/>
        </w:rPr>
      </w:pPr>
      <w:bookmarkStart w:id="57" w:name="_Toc30229"/>
      <w:bookmarkStart w:id="58" w:name="_Toc4146"/>
      <w:r>
        <w:rPr>
          <w:rFonts w:hint="eastAsia"/>
          <w:color w:val="000000" w:themeColor="text1"/>
        </w:rPr>
        <w:t>（2）综合素质过硬</w:t>
      </w:r>
      <w:bookmarkEnd w:id="57"/>
      <w:bookmarkEnd w:id="58"/>
    </w:p>
    <w:p>
      <w:pPr>
        <w:adjustRightInd w:val="0"/>
        <w:snapToGrid w:val="0"/>
        <w:spacing w:line="360" w:lineRule="auto"/>
        <w:ind w:firstLine="480" w:firstLineChars="200"/>
        <w:rPr>
          <w:rFonts w:ascii="宋体" w:hAnsi="宋体"/>
          <w:sz w:val="24"/>
        </w:rPr>
      </w:pPr>
      <w:r>
        <w:rPr>
          <w:rFonts w:hint="eastAsia" w:ascii="宋体" w:hAnsi="宋体"/>
          <w:sz w:val="24"/>
        </w:rPr>
        <w:t>学院坚持以健康向上的校园文化建设为着力点，构筑良好的育人环境。以重大节假日为契机，号召社团成员积极参与各项主题教育活动。例如：教师节、青年节、国庆节、感恩节等，通过主题教育增强学生的爱国意识、责任意识、服务意识、诚信意识，培养学生团结协作、求真务实、讲求奉献的道德素质，提升学生爱岗敬业、勤学苦练、拼搏进取、精益求精的工匠职业素养。通过开展多层次、高品位的社团文化活动，让学生在健康向上的校园文化氛围中受到熏陶和教育，把校园文化的内化教育功能与大学生自我塑造有机结合起来。充分利用学院教学设施设备和系部师资力量，鼓励学生社团特色化发展。在丰富大学生的课余生活的同时，提高了实践能力和综合素质，促进大学生成才成人。</w:t>
      </w:r>
    </w:p>
    <w:p>
      <w:pPr>
        <w:pStyle w:val="4"/>
        <w:spacing w:before="156" w:after="156"/>
        <w:ind w:firstLine="0" w:firstLineChars="0"/>
        <w:rPr>
          <w:color w:val="000000" w:themeColor="text1"/>
        </w:rPr>
      </w:pPr>
      <w:bookmarkStart w:id="59" w:name="_Toc18719"/>
      <w:bookmarkStart w:id="60" w:name="_Toc13733"/>
      <w:r>
        <w:rPr>
          <w:rFonts w:hint="eastAsia"/>
          <w:color w:val="000000" w:themeColor="text1"/>
        </w:rPr>
        <w:t>【典型案例5】学院举办“中国梦激扬青春梦”主题教育系列活动</w:t>
      </w:r>
      <w:bookmarkEnd w:id="59"/>
      <w:bookmarkEnd w:id="60"/>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为全面贯彻党的十九大精神，落实立德树人根本任务，提升学生综合素质和能力，学院策划了“中国梦激扬青春梦”主题教育系列活动。囊括了大冰的小屋·百城百校音乐会、男子篮球赛、个人简历大赛、学习十九大精神主题教育班会、文明规范月活动、毕业生文明离校教育活动、“建卓越、创优质、争一流”主题班会、趣味运动会、晚会等多种活动类型。活动紧扣主题，用中国梦激扬青春梦，为学生点亮理想的灯、照亮前行的路，激励学生自觉把个人梦融入中国梦。活动坚持以文化人、以文育人，以校园文化活动为载体，将“大道理”变成“微话语”，将“大思想”融入“小活动”，思想政治教育达到了润物细无声的良好效果。通过“中国梦激扬青春梦”主题教育系列活动的开展，进一步凝聚了人心和力量，学习宣传贯彻党的十九大精神、学院“建卓越、创优质、争一流”等中心工作已深入学院每位师生心中，落实到实际行动中。</w:t>
      </w:r>
    </w:p>
    <w:p>
      <w:pPr>
        <w:adjustRightInd w:val="0"/>
        <w:snapToGrid w:val="0"/>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3972560" cy="2455545"/>
            <wp:effectExtent l="0" t="0" r="8890" b="1905"/>
            <wp:docPr id="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6"/>
                    <pic:cNvPicPr>
                      <a:picLocks noChangeAspect="1"/>
                    </pic:cNvPicPr>
                  </pic:nvPicPr>
                  <pic:blipFill>
                    <a:blip r:embed="rId32"/>
                    <a:stretch>
                      <a:fillRect/>
                    </a:stretch>
                  </pic:blipFill>
                  <pic:spPr>
                    <a:xfrm>
                      <a:off x="0" y="0"/>
                      <a:ext cx="3972560" cy="2455545"/>
                    </a:xfrm>
                    <a:prstGeom prst="rect">
                      <a:avLst/>
                    </a:prstGeom>
                    <a:noFill/>
                    <a:ln w="9525">
                      <a:noFill/>
                    </a:ln>
                  </pic:spPr>
                </pic:pic>
              </a:graphicData>
            </a:graphic>
          </wp:inline>
        </w:drawing>
      </w:r>
    </w:p>
    <w:p>
      <w:pPr>
        <w:spacing w:line="360" w:lineRule="auto"/>
        <w:jc w:val="center"/>
        <w:rPr>
          <w:rFonts w:ascii="宋体" w:hAnsi="宋体"/>
          <w:b/>
          <w:szCs w:val="21"/>
        </w:rPr>
      </w:pPr>
      <w:r>
        <w:rPr>
          <w:rFonts w:hint="eastAsia" w:ascii="宋体" w:hAnsi="宋体"/>
          <w:b/>
          <w:szCs w:val="21"/>
        </w:rPr>
        <w:t>图2-15 学院“中国梦激扬青春梦”主题教育晚会</w:t>
      </w:r>
    </w:p>
    <w:p>
      <w:pPr>
        <w:pStyle w:val="3"/>
      </w:pPr>
      <w:bookmarkStart w:id="61" w:name="_Toc21125"/>
      <w:bookmarkStart w:id="62" w:name="_Toc25357"/>
      <w:r>
        <w:rPr>
          <w:rFonts w:hint="eastAsia"/>
        </w:rPr>
        <w:t>2.4 创新创业</w:t>
      </w:r>
      <w:bookmarkEnd w:id="61"/>
      <w:bookmarkEnd w:id="62"/>
    </w:p>
    <w:p>
      <w:pPr>
        <w:adjustRightInd w:val="0"/>
        <w:snapToGrid w:val="0"/>
        <w:spacing w:line="360" w:lineRule="auto"/>
        <w:ind w:firstLine="480" w:firstLineChars="200"/>
        <w:rPr>
          <w:rFonts w:ascii="宋体" w:hAnsi="宋体"/>
          <w:sz w:val="24"/>
        </w:rPr>
      </w:pPr>
      <w:r>
        <w:rPr>
          <w:rFonts w:hint="eastAsia" w:ascii="宋体" w:hAnsi="宋体"/>
          <w:sz w:val="24"/>
        </w:rPr>
        <w:t>近年来，学院大力推进大众创业万众创新活动，依托学院主持的湖南省“双创”示范基地、湖南省大学生创业创业孵化基地和湖南省职业教育大数据中心，打造了集创新、孵化、服务三位一体的“双创”示范基地。基地总投资额为2000万元，占地面积1800余平方米，共计采购设备仪器200余台套。包括大学生创业创新中心、大学生科技中心、大学生创业创新成果展示厅、大学生创业创新电子服务平台等。建有团队工作室、会议室、洽谈室、路演厅、展示厅等功能场地，积极开展“双创”培训，对入驻校内孵化基地的项目进行管理，建立了“双创”竞赛机制，鼓励学生参加“科技创新竞赛”、“创业方案设计大赛”等竞赛活动，积极参加省市组织的大型科技“双创”竞赛。学院大学生创业创新基地现有5个创新工作室、42个项目团队入驻，与专业相关团队35个，科技发明创造类项目占70%以上，13个项目团队办理了营业执照。孵化基地已发展成为一个门类众多的微型“双创”特区。</w:t>
      </w:r>
    </w:p>
    <w:p>
      <w:pPr>
        <w:adjustRightInd w:val="0"/>
        <w:snapToGrid w:val="0"/>
        <w:spacing w:line="360" w:lineRule="auto"/>
        <w:ind w:firstLine="480" w:firstLineChars="200"/>
        <w:rPr>
          <w:rFonts w:ascii="宋体" w:hAnsi="宋体"/>
          <w:sz w:val="24"/>
        </w:rPr>
      </w:pPr>
      <w:r>
        <w:rPr>
          <w:rFonts w:hint="eastAsia" w:ascii="宋体" w:hAnsi="宋体"/>
          <w:sz w:val="24"/>
        </w:rPr>
        <w:t>麦可思调查显示：学院2014—2016届毕业生的“自主创业”的比例分别为</w:t>
      </w:r>
      <w:r>
        <w:rPr>
          <w:rFonts w:ascii="宋体" w:hAnsi="宋体"/>
          <w:sz w:val="24"/>
        </w:rPr>
        <w:t>4.8%</w:t>
      </w:r>
      <w:r>
        <w:rPr>
          <w:rFonts w:hint="eastAsia" w:ascii="宋体" w:hAnsi="宋体"/>
          <w:sz w:val="24"/>
        </w:rPr>
        <w:t>、</w:t>
      </w:r>
      <w:r>
        <w:rPr>
          <w:rFonts w:ascii="宋体" w:hAnsi="宋体"/>
          <w:sz w:val="24"/>
        </w:rPr>
        <w:t>5.9%</w:t>
      </w:r>
      <w:r>
        <w:rPr>
          <w:rFonts w:hint="eastAsia" w:ascii="宋体" w:hAnsi="宋体"/>
          <w:sz w:val="24"/>
        </w:rPr>
        <w:t>、4.7%，2017届，在毕业生规模大幅增长的背景下，依旧保持了4.7%的自主创业比例，比全国高职院校平均水平高出</w:t>
      </w:r>
      <w:r>
        <w:rPr>
          <w:rFonts w:ascii="宋体" w:hAnsi="宋体"/>
          <w:sz w:val="24"/>
        </w:rPr>
        <w:t>2</w:t>
      </w:r>
      <w:r>
        <w:rPr>
          <w:rFonts w:hint="eastAsia" w:ascii="宋体" w:hAnsi="宋体"/>
          <w:sz w:val="24"/>
        </w:rPr>
        <w:t>个百分点以上。近几年，学院先后荣获首批湖南省大学生就业创业示范校；连续四届获得湖南省就业工作“一把手工程”优秀单位称号并荣膺湖南省大学生就业创业优秀示范校。</w:t>
      </w:r>
    </w:p>
    <w:p>
      <w:pPr>
        <w:adjustRightInd w:val="0"/>
        <w:snapToGrid w:val="0"/>
        <w:spacing w:line="360" w:lineRule="auto"/>
        <w:jc w:val="center"/>
      </w:pPr>
      <w:r>
        <w:drawing>
          <wp:inline distT="0" distB="0" distL="114300" distR="114300">
            <wp:extent cx="4839970" cy="2275840"/>
            <wp:effectExtent l="4445" t="4445" r="13335" b="5715"/>
            <wp:docPr id="1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jc w:val="center"/>
        <w:rPr>
          <w:rFonts w:ascii="宋体" w:hAnsi="宋体"/>
          <w:b/>
          <w:szCs w:val="21"/>
        </w:rPr>
      </w:pPr>
      <w:r>
        <w:rPr>
          <w:rFonts w:hint="eastAsia" w:ascii="宋体" w:hAnsi="宋体"/>
          <w:b/>
          <w:szCs w:val="21"/>
        </w:rPr>
        <w:t>图2-16 学院学生省级以上科技作品获奖情况示意图</w:t>
      </w:r>
    </w:p>
    <w:p>
      <w:pPr>
        <w:jc w:val="right"/>
        <w:rPr>
          <w:rFonts w:ascii="宋体" w:hAnsi="宋体"/>
          <w:b/>
          <w:szCs w:val="21"/>
        </w:rPr>
      </w:pPr>
      <w:r>
        <w:rPr>
          <w:rFonts w:hint="eastAsia" w:ascii="宋体" w:hAnsi="宋体"/>
          <w:b/>
          <w:szCs w:val="21"/>
        </w:rPr>
        <w:t>数据来源：全国高职院校状态数据采集与管理系统</w:t>
      </w:r>
    </w:p>
    <w:p>
      <w:pPr>
        <w:pStyle w:val="4"/>
        <w:spacing w:before="156" w:after="156"/>
        <w:ind w:firstLine="0" w:firstLineChars="0"/>
        <w:rPr>
          <w:color w:val="auto"/>
        </w:rPr>
      </w:pPr>
      <w:bookmarkStart w:id="63" w:name="_Toc8687"/>
      <w:bookmarkStart w:id="64" w:name="_Toc16466"/>
      <w:r>
        <w:rPr>
          <w:rFonts w:hint="eastAsia"/>
          <w:color w:val="auto"/>
        </w:rPr>
        <w:t>【典型案例6】湖南化工职院双创“火”</w:t>
      </w:r>
      <w:bookmarkEnd w:id="63"/>
      <w:bookmarkEnd w:id="64"/>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在2017年全国“大众创业、万众创新”活动周湖南省分会场上，湖南化工职业技术学院作为省高职唯一参展方，展出的“双创”新成果——学院化妆品生产与品牌推广中心最新研发的颜如玉“BREW”小清新系列产品，该系列产品由湖南化工职院师生自主研发生产，产品生产已通过欧盟ISO22716和美国GMPC化妆品良好生产规范双认证，目前已上市，并受到不同年龄段消费者的欢迎。在展会上“火”了一把，得到许多参观人员的点赞。</w:t>
      </w:r>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何报翔副省长现场调研湖南化工职院，充分肯定了湖南化工职院“双创”工作取得的新成绩。他指出，经济新常态下，创业创新已经成为湖南稳增长、保就业、促转型的重要抓手，学院要凸显专业优势，大力推动绿色、低碳、可持续发展，努力推进“大众创业、万众创新”再上新台阶。</w:t>
      </w:r>
    </w:p>
    <w:p>
      <w:pPr>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4762500" cy="3048000"/>
            <wp:effectExtent l="0" t="0" r="0" b="0"/>
            <wp:docPr id="3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descr="IMG_256"/>
                    <pic:cNvPicPr>
                      <a:picLocks noChangeAspect="1"/>
                    </pic:cNvPicPr>
                  </pic:nvPicPr>
                  <pic:blipFill>
                    <a:blip r:embed="rId34"/>
                    <a:stretch>
                      <a:fillRect/>
                    </a:stretch>
                  </pic:blipFill>
                  <pic:spPr>
                    <a:xfrm>
                      <a:off x="0" y="0"/>
                      <a:ext cx="4762500" cy="3048000"/>
                    </a:xfrm>
                    <a:prstGeom prst="rect">
                      <a:avLst/>
                    </a:prstGeom>
                    <a:noFill/>
                    <a:ln w="9525">
                      <a:noFill/>
                    </a:ln>
                  </pic:spPr>
                </pic:pic>
              </a:graphicData>
            </a:graphic>
          </wp:inline>
        </w:drawing>
      </w:r>
    </w:p>
    <w:p>
      <w:pPr>
        <w:adjustRightInd w:val="0"/>
        <w:snapToGrid w:val="0"/>
        <w:jc w:val="center"/>
        <w:rPr>
          <w:rFonts w:ascii="宋体" w:hAnsi="宋体"/>
          <w:b/>
          <w:szCs w:val="21"/>
        </w:rPr>
      </w:pPr>
      <w:r>
        <w:rPr>
          <w:rFonts w:hint="eastAsia" w:ascii="宋体" w:hAnsi="宋体"/>
          <w:b/>
          <w:szCs w:val="21"/>
        </w:rPr>
        <w:t>图2-17 何报翔副省长全国“大众创业、万众创新”活动周湖南省分会场</w:t>
      </w:r>
    </w:p>
    <w:p>
      <w:pPr>
        <w:adjustRightInd w:val="0"/>
        <w:snapToGrid w:val="0"/>
        <w:jc w:val="center"/>
        <w:rPr>
          <w:rFonts w:ascii="宋体" w:hAnsi="宋体"/>
          <w:b/>
          <w:szCs w:val="21"/>
        </w:rPr>
      </w:pPr>
      <w:r>
        <w:rPr>
          <w:rFonts w:hint="eastAsia" w:ascii="宋体" w:hAnsi="宋体"/>
          <w:b/>
          <w:szCs w:val="21"/>
        </w:rPr>
        <w:t>现场听取王雄伟校长作学院创新创业工作汇报</w:t>
      </w:r>
    </w:p>
    <w:p>
      <w:pPr>
        <w:pStyle w:val="4"/>
        <w:spacing w:before="156" w:after="156"/>
        <w:ind w:firstLine="0" w:firstLineChars="0"/>
        <w:rPr>
          <w:color w:val="auto"/>
        </w:rPr>
      </w:pPr>
      <w:bookmarkStart w:id="65" w:name="_Toc15049"/>
      <w:bookmarkStart w:id="66" w:name="_Toc6277"/>
      <w:r>
        <w:rPr>
          <w:rFonts w:hint="eastAsia"/>
          <w:color w:val="auto"/>
        </w:rPr>
        <w:t>【典型案例7】学院获批中关村创业就业实践基地</w:t>
      </w:r>
      <w:bookmarkEnd w:id="65"/>
      <w:bookmarkEnd w:id="66"/>
    </w:p>
    <w:p>
      <w:pPr>
        <w:pStyle w:val="13"/>
        <w:adjustRightInd w:val="0"/>
        <w:snapToGrid w:val="0"/>
        <w:spacing w:beforeAutospacing="0" w:afterAutospacing="0" w:line="360" w:lineRule="auto"/>
        <w:ind w:firstLine="480"/>
        <w:rPr>
          <w:rFonts w:ascii="仿宋_GB2312" w:hAnsi="宋体" w:eastAsia="仿宋_GB2312" w:cstheme="minorBidi"/>
          <w:color w:val="3366FF"/>
          <w:kern w:val="2"/>
        </w:rPr>
      </w:pPr>
      <w:r>
        <w:rPr>
          <w:rFonts w:hint="eastAsia" w:ascii="仿宋_GB2312" w:hAnsi="宋体" w:eastAsia="仿宋_GB2312" w:cstheme="minorBidi"/>
          <w:color w:val="3366FF"/>
          <w:kern w:val="2"/>
        </w:rPr>
        <w:t>2017年3月18日，中关村人才特区百校联盟揭牌授牌仪式暨第二届中关村人才创客大赛在北京启动。全国上百所高校及上千家企业代表参加仪式。我校被授予中关村人才特区创业就业实践基地，正式成为中关村人才特区百校联盟单位。“百校联盟”由清华大学、北京大学等全国近百所高校组成，湖南化工职业技术学院和湖南大学、湖南农业大学、湖南科技学院等7所在湘高校荣幸入选，并被授予“中关村人才特区创业就业实践基地”。</w:t>
      </w:r>
    </w:p>
    <w:p>
      <w:pPr>
        <w:pStyle w:val="13"/>
        <w:adjustRightInd w:val="0"/>
        <w:snapToGrid w:val="0"/>
        <w:spacing w:beforeAutospacing="0" w:afterAutospacing="0" w:line="360" w:lineRule="auto"/>
        <w:ind w:firstLine="480"/>
        <w:rPr>
          <w:rFonts w:ascii="仿宋_GB2312" w:hAnsi="宋体" w:eastAsia="仿宋_GB2312" w:cstheme="minorBidi"/>
          <w:color w:val="3366FF"/>
          <w:kern w:val="2"/>
        </w:rPr>
      </w:pPr>
      <w:r>
        <w:rPr>
          <w:rFonts w:hint="eastAsia" w:ascii="仿宋_GB2312" w:hAnsi="宋体" w:eastAsia="仿宋_GB2312" w:cstheme="minorBidi"/>
          <w:color w:val="3366FF"/>
          <w:kern w:val="2"/>
        </w:rPr>
        <w:t>学院将与全国百所高校及千家企业共同整合资源，协同发展，互利共赢，在大学生创业实践、创业辅导培训、创客大赛、风头推介、园区引进、就业招聘、职业生涯规划、需求技巧培训、实习合作等方面提供全维度支撑，为学院搭建创新创业教育新平台，共享创新创业教育资源，培育富有创新精神、勇于实践的创新创业人才都具有重要意义。</w:t>
      </w:r>
    </w:p>
    <w:p>
      <w:pPr>
        <w:pStyle w:val="13"/>
        <w:adjustRightInd w:val="0"/>
        <w:snapToGrid w:val="0"/>
        <w:spacing w:beforeAutospacing="0" w:afterAutospacing="0" w:line="360" w:lineRule="auto"/>
        <w:jc w:val="center"/>
        <w:rPr>
          <w:rFonts w:ascii="微软雅黑" w:hAnsi="微软雅黑" w:eastAsia="微软雅黑"/>
          <w:color w:val="000000"/>
        </w:rPr>
      </w:pPr>
      <w:r>
        <w:rPr>
          <w:rFonts w:ascii="微软雅黑" w:hAnsi="微软雅黑" w:eastAsia="微软雅黑"/>
          <w:color w:val="000000"/>
        </w:rPr>
        <w:drawing>
          <wp:inline distT="0" distB="0" distL="114300" distR="114300">
            <wp:extent cx="4761865" cy="3190240"/>
            <wp:effectExtent l="0" t="0" r="635" b="10160"/>
            <wp:docPr id="29" name="图片 2" descr="41290_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41290_500x500"/>
                    <pic:cNvPicPr>
                      <a:picLocks noChangeAspect="1"/>
                    </pic:cNvPicPr>
                  </pic:nvPicPr>
                  <pic:blipFill>
                    <a:blip r:embed="rId35"/>
                    <a:stretch>
                      <a:fillRect/>
                    </a:stretch>
                  </pic:blipFill>
                  <pic:spPr>
                    <a:xfrm>
                      <a:off x="0" y="0"/>
                      <a:ext cx="4761865" cy="3190240"/>
                    </a:xfrm>
                    <a:prstGeom prst="rect">
                      <a:avLst/>
                    </a:prstGeom>
                    <a:noFill/>
                    <a:ln w="9525">
                      <a:noFill/>
                    </a:ln>
                  </pic:spPr>
                </pic:pic>
              </a:graphicData>
            </a:graphic>
          </wp:inline>
        </w:drawing>
      </w:r>
    </w:p>
    <w:p>
      <w:pPr>
        <w:pStyle w:val="13"/>
        <w:adjustRightInd w:val="0"/>
        <w:snapToGrid w:val="0"/>
        <w:spacing w:beforeAutospacing="0" w:afterAutospacing="0" w:line="360" w:lineRule="auto"/>
        <w:jc w:val="center"/>
        <w:rPr>
          <w:rFonts w:ascii="宋体" w:hAnsi="宋体" w:cstheme="minorBidi"/>
          <w:b/>
          <w:kern w:val="2"/>
          <w:sz w:val="21"/>
          <w:szCs w:val="21"/>
        </w:rPr>
      </w:pPr>
      <w:r>
        <w:rPr>
          <w:rFonts w:hint="eastAsia" w:ascii="宋体" w:hAnsi="宋体" w:cstheme="minorBidi"/>
          <w:b/>
          <w:kern w:val="2"/>
          <w:sz w:val="21"/>
          <w:szCs w:val="21"/>
        </w:rPr>
        <w:t>图2-18 学院获批中关村创业就业实践基地</w:t>
      </w:r>
    </w:p>
    <w:p>
      <w:pPr>
        <w:pStyle w:val="4"/>
        <w:spacing w:before="156" w:after="156"/>
        <w:ind w:firstLine="0" w:firstLineChars="0"/>
        <w:rPr>
          <w:color w:val="auto"/>
        </w:rPr>
      </w:pPr>
      <w:bookmarkStart w:id="67" w:name="_Toc6721"/>
      <w:bookmarkStart w:id="68" w:name="_Toc16755"/>
      <w:r>
        <w:rPr>
          <w:rFonts w:hint="eastAsia"/>
          <w:color w:val="auto"/>
        </w:rPr>
        <w:t>【典型案例8】</w:t>
      </w:r>
      <w:bookmarkEnd w:id="67"/>
      <w:r>
        <w:rPr>
          <w:rFonts w:hint="eastAsia"/>
          <w:color w:val="auto"/>
        </w:rPr>
        <w:t>毕业生创办公司6年比肩化妆品龙头企业</w:t>
      </w:r>
      <w:bookmarkEnd w:id="68"/>
    </w:p>
    <w:p>
      <w:pPr>
        <w:adjustRightInd w:val="0"/>
        <w:snapToGrid w:val="0"/>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学院精细化学品生产技术专业2011届毕业生杨鹏，27岁的他，是广东省美容美发化妆品协会副会长、广东省湖南商会化妆品协会副会长、拥有八家工贸公司的集团董事长……没有高学历，也不是富二代，杨鹏是怎么一步步实现创业梦想？</w:t>
      </w:r>
    </w:p>
    <w:p>
      <w:pPr>
        <w:adjustRightInd w:val="0"/>
        <w:snapToGrid w:val="0"/>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中学时假期一次的打工经历，让杨鹏找准了自己的职业方向-专攻化妆品行业。当时，湖南省只有湖南化工职业技术学院开设有精细化学品生产技术专业，2008年秋，18岁的小伙子兴冲冲的跨入了位于株洲的新学院。经过三年的学习，使他胸有成竹。虽然怀揣创业梦，但杨鹏他没有直接创业，选择进入一家小型化妆品加工企业。从车间普工、打板员、助理工程师到后来的业务员……</w:t>
      </w:r>
    </w:p>
    <w:p>
      <w:pPr>
        <w:adjustRightInd w:val="0"/>
        <w:snapToGrid w:val="0"/>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2013年杨鹏利用积累的少量资金，大胆开始做化妆品品牌。不到一年，他的面膜出货达到每个月1000万片的天量，成为市场上不可忽视的新生力量。2015年，杨鹏立即启动第二次转型。升级厂房装修、购置进口先进设备、百万高薪聘请技术大拿、与高校成立联合实验室、首批获得生产许可证单位、发明专利授权、高新技术企业认定……，杨鹏的梦采生物公司给人惊喜不断，迅速向化妆品龙头企业看齐。磨刀不误砍柴工，由于管理严格，质量优良，万宁、屈臣氏、沃尔玛等国际大公司相继成为合作单位。</w:t>
      </w:r>
    </w:p>
    <w:p>
      <w:pPr>
        <w:pStyle w:val="4"/>
        <w:spacing w:before="156" w:after="156"/>
        <w:ind w:firstLine="0" w:firstLineChars="0"/>
        <w:rPr>
          <w:color w:val="auto"/>
        </w:rPr>
      </w:pPr>
      <w:bookmarkStart w:id="69" w:name="_Toc15917"/>
      <w:bookmarkStart w:id="70" w:name="_Toc12039"/>
      <w:r>
        <w:rPr>
          <w:rFonts w:hint="eastAsia"/>
          <w:color w:val="auto"/>
        </w:rPr>
        <w:t>【典型案例9】大一学生办厂生产“贵族”啤酒</w:t>
      </w:r>
      <w:bookmarkEnd w:id="69"/>
      <w:bookmarkEnd w:id="70"/>
    </w:p>
    <w:p>
      <w:pPr>
        <w:adjustRightInd w:val="0"/>
        <w:snapToGrid w:val="0"/>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学院食品生物技术专业的2016级学生邓浩，入学后初次品尝了学院的原浆啤酒：“我一下就爱上这种醇厚香甜的味道。”之后，邓浩开始缠着食品生物技术专业的负责人罗跃中教他酿酒。罗跃中被邓浩执着的求学精神打动，提前对邓浩进行大三阶段才能完成的自主酿酒技能相关技术培训，邓浩用了不到半年时间就已完全掌握。通过学院的支持、银行贷款以及自己的投入，他和几位校友在学院创办了校中啤酒厂，厂内生产的是啤酒中的“贵族”——原浆啤酒，目前已销往株洲和其他地区。</w:t>
      </w:r>
    </w:p>
    <w:p>
      <w:pPr>
        <w:adjustRightInd w:val="0"/>
        <w:snapToGrid w:val="0"/>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2310765" cy="2778125"/>
            <wp:effectExtent l="0" t="0" r="13335" b="3175"/>
            <wp:docPr id="40"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descr="IMG_256"/>
                    <pic:cNvPicPr>
                      <a:picLocks noChangeAspect="1"/>
                    </pic:cNvPicPr>
                  </pic:nvPicPr>
                  <pic:blipFill>
                    <a:blip r:embed="rId36"/>
                    <a:stretch>
                      <a:fillRect/>
                    </a:stretch>
                  </pic:blipFill>
                  <pic:spPr>
                    <a:xfrm>
                      <a:off x="0" y="0"/>
                      <a:ext cx="2310765" cy="2778125"/>
                    </a:xfrm>
                    <a:prstGeom prst="rect">
                      <a:avLst/>
                    </a:prstGeom>
                    <a:noFill/>
                    <a:ln w="9525">
                      <a:noFill/>
                    </a:ln>
                  </pic:spPr>
                </pic:pic>
              </a:graphicData>
            </a:graphic>
          </wp:inline>
        </w:drawing>
      </w:r>
    </w:p>
    <w:p>
      <w:pPr>
        <w:adjustRightInd w:val="0"/>
        <w:snapToGrid w:val="0"/>
        <w:spacing w:line="360" w:lineRule="auto"/>
        <w:jc w:val="center"/>
        <w:rPr>
          <w:rFonts w:ascii="宋体" w:hAnsi="宋体"/>
          <w:b/>
          <w:szCs w:val="21"/>
        </w:rPr>
      </w:pPr>
      <w:r>
        <w:rPr>
          <w:rFonts w:hint="eastAsia" w:ascii="宋体" w:hAnsi="宋体"/>
          <w:b/>
          <w:szCs w:val="21"/>
        </w:rPr>
        <w:t>图2-19  邓浩和他的团队正在酿造啤酒</w:t>
      </w:r>
    </w:p>
    <w:p>
      <w:pPr>
        <w:pStyle w:val="3"/>
      </w:pPr>
      <w:bookmarkStart w:id="71" w:name="_Toc16866"/>
      <w:bookmarkStart w:id="72" w:name="_Toc16031"/>
      <w:r>
        <w:rPr>
          <w:rFonts w:hint="eastAsia"/>
        </w:rPr>
        <w:t>2.5 关爱工程</w:t>
      </w:r>
      <w:bookmarkEnd w:id="71"/>
      <w:bookmarkEnd w:id="72"/>
    </w:p>
    <w:p>
      <w:pPr>
        <w:pStyle w:val="4"/>
        <w:spacing w:before="156" w:after="156"/>
        <w:ind w:firstLine="562"/>
        <w:rPr>
          <w:color w:val="000000" w:themeColor="text1"/>
        </w:rPr>
      </w:pPr>
      <w:bookmarkStart w:id="73" w:name="_Toc7958"/>
      <w:bookmarkStart w:id="74" w:name="_Toc30841"/>
      <w:r>
        <w:rPr>
          <w:rFonts w:hint="eastAsia"/>
          <w:color w:val="000000" w:themeColor="text1"/>
        </w:rPr>
        <w:t>（1）发挥五老优势，育四有新人</w:t>
      </w:r>
      <w:bookmarkEnd w:id="73"/>
      <w:bookmarkEnd w:id="74"/>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关工委是一座桥，一座连接学院和学生的连心桥；关工委是一本书，一本传承文明和历史的教科书；关工委是一张网，一张为教育服务的信息关爱网；关工委是一团火，一团为青年师生送去温暖的火！</w:t>
      </w:r>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学院关工委秉承着一座桥、一本书、一张网、一团火的工作理念开展工作。形成了“领导重视、组织建设好、五老作用发挥好、活动开展好、社会效果好”五大亮点，被列入湖南省第十七次市州关工委主任会议学习考察的重点单位。</w:t>
      </w:r>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以党建工作为平台，充分发挥老同志的政治优势。受聘担任特邀党建组织员的老同志，积极参加党务工作培训、找入党对象谈话、上党课等党建活动，获得了师生的好评。</w:t>
      </w:r>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以主题教育为载体，注重社会主义核心价值观的引领作用。协同团委先后开展了“祖国在我心中”、“心无旁骛求知问学”、“立德修身诚信为本”等主题教育活动和各类学术讲座、法制教育讲座、演讲比赛等校园文化活动，不断丰富学生的“第二课堂”。特别是今年10月开展的“走进党的十九大”思政巡回授课活动，让十九大精神融入课堂、深入人心，将新时代中国特色社会主义思想最及时地传递给了广大青年学子。</w:t>
      </w:r>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以构建和谐校园为目标，广泛开展关爱救助活动。为了帮助家庭经济困难的学生顺利完成学业，很多老同志主动走访贫困生，在生活上、学习上帮助他们的同时，教育他们树立信心，坚定人生目标。</w:t>
      </w:r>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以心理健康教育为抓手，积极开展心理健康教育和疏导工作。针对心里有困惑的学生，关工委成员配合学工处开展心理教育和咨询活动，有效预防了四起较为严重的心理问题事件。</w:t>
      </w:r>
    </w:p>
    <w:p>
      <w:pPr>
        <w:pStyle w:val="4"/>
        <w:spacing w:before="156" w:after="156"/>
        <w:ind w:firstLine="0" w:firstLineChars="0"/>
        <w:rPr>
          <w:color w:val="auto"/>
        </w:rPr>
      </w:pPr>
      <w:bookmarkStart w:id="75" w:name="_Toc9469"/>
      <w:bookmarkStart w:id="76" w:name="_Toc16746"/>
      <w:r>
        <w:rPr>
          <w:rFonts w:hint="eastAsia"/>
          <w:color w:val="auto"/>
        </w:rPr>
        <w:t>【典型案例10】浓浓真情育春苗——全国人大常委会原副委员长、中国关工委主任顾秀莲高度肯定学院关工委工作</w:t>
      </w:r>
      <w:bookmarkEnd w:id="75"/>
      <w:bookmarkEnd w:id="76"/>
    </w:p>
    <w:p>
      <w:pPr>
        <w:pStyle w:val="13"/>
        <w:shd w:val="clear" w:color="auto" w:fill="FFFFFF"/>
        <w:adjustRightInd w:val="0"/>
        <w:snapToGrid w:val="0"/>
        <w:spacing w:beforeAutospacing="0" w:afterAutospacing="0" w:line="360" w:lineRule="auto"/>
        <w:ind w:firstLine="490"/>
        <w:rPr>
          <w:rFonts w:ascii="仿宋_GB2312" w:hAnsi="宋体" w:eastAsia="仿宋_GB2312" w:cstheme="minorBidi"/>
          <w:color w:val="3366FF"/>
          <w:kern w:val="2"/>
        </w:rPr>
      </w:pPr>
      <w:r>
        <w:rPr>
          <w:rFonts w:hint="eastAsia" w:ascii="仿宋_GB2312" w:hAnsi="宋体" w:eastAsia="仿宋_GB2312" w:cstheme="minorBidi"/>
          <w:color w:val="3366FF"/>
          <w:kern w:val="2"/>
        </w:rPr>
        <w:t>2017年11月22日，全国人大常委会原副委员长、中国关工委主任顾秀莲前往我院考察调研，这也是顾秀莲第二次调研我院。三年前，我院新校区还在建设中，顾秀莲来到我院调研，看着正在发展中的湖南化工职院，饱含深情、满怀期盼地说：“你们建好了学院，我再来看你们。”这份庄重的承诺似一阵春风，带给全体化院人温暖、信心和力量，化院人不负顾主任的嘱托，负重前行、开拓进取。时隔三年多的光阴，再次来访调研，顾秀莲指出，要深刻理解习近平总书记十九大报告中“祖国的未来，属于下一代”的丰富内涵，进一步把工作重点聚焦到青少年思想道德建设上来，引导青少年树立和践行社会主义核心价值观，团结教育青少年听党的话跟党走。同时对我院培养学生提出了建设性意见。</w:t>
      </w:r>
    </w:p>
    <w:p>
      <w:pPr>
        <w:pStyle w:val="13"/>
        <w:widowControl/>
        <w:shd w:val="clear" w:color="auto" w:fill="FFFFFF"/>
        <w:spacing w:beforeAutospacing="0" w:afterAutospacing="0"/>
        <w:jc w:val="center"/>
        <w:rPr>
          <w:rFonts w:ascii="微软雅黑" w:hAnsi="微软雅黑" w:eastAsia="微软雅黑" w:cs="微软雅黑"/>
          <w:color w:val="454545"/>
          <w:sz w:val="21"/>
          <w:szCs w:val="21"/>
        </w:rPr>
      </w:pPr>
      <w:r>
        <w:rPr>
          <w:rFonts w:hint="eastAsia" w:ascii="微软雅黑" w:hAnsi="微软雅黑" w:eastAsia="微软雅黑" w:cs="微软雅黑"/>
          <w:sz w:val="21"/>
          <w:szCs w:val="21"/>
          <w:shd w:val="clear" w:color="auto" w:fill="FFFFFF"/>
        </w:rPr>
        <w:drawing>
          <wp:inline distT="0" distB="0" distL="114300" distR="114300">
            <wp:extent cx="4777105" cy="2684780"/>
            <wp:effectExtent l="0" t="0" r="4445" b="1270"/>
            <wp:docPr id="41" name="图片 14" descr="顾委员长对我校近年来的发展成就表示高度肯定">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顾委员长对我校近年来的发展成就表示高度肯定"/>
                    <pic:cNvPicPr>
                      <a:picLocks noChangeAspect="1"/>
                    </pic:cNvPicPr>
                  </pic:nvPicPr>
                  <pic:blipFill>
                    <a:blip r:embed="rId38"/>
                    <a:stretch>
                      <a:fillRect/>
                    </a:stretch>
                  </pic:blipFill>
                  <pic:spPr>
                    <a:xfrm>
                      <a:off x="0" y="0"/>
                      <a:ext cx="4777105" cy="2684780"/>
                    </a:xfrm>
                    <a:prstGeom prst="rect">
                      <a:avLst/>
                    </a:prstGeom>
                    <a:noFill/>
                    <a:ln w="9525">
                      <a:noFill/>
                    </a:ln>
                  </pic:spPr>
                </pic:pic>
              </a:graphicData>
            </a:graphic>
          </wp:inline>
        </w:drawing>
      </w:r>
    </w:p>
    <w:p>
      <w:pPr>
        <w:pStyle w:val="13"/>
        <w:widowControl/>
        <w:shd w:val="clear" w:color="auto" w:fill="FFFFFF"/>
        <w:spacing w:beforeAutospacing="0" w:afterAutospacing="0"/>
        <w:jc w:val="center"/>
        <w:rPr>
          <w:rFonts w:ascii="宋体" w:hAnsi="宋体"/>
          <w:b/>
          <w:sz w:val="21"/>
          <w:szCs w:val="21"/>
        </w:rPr>
      </w:pPr>
      <w:r>
        <w:rPr>
          <w:rFonts w:hint="eastAsia" w:ascii="宋体" w:hAnsi="宋体"/>
          <w:b/>
          <w:sz w:val="21"/>
          <w:szCs w:val="21"/>
        </w:rPr>
        <w:t>图2-20 顾主任对我校近年来的发展成就表示高度肯定</w:t>
      </w:r>
    </w:p>
    <w:p>
      <w:pPr>
        <w:pStyle w:val="4"/>
        <w:spacing w:before="156" w:after="156"/>
        <w:ind w:firstLine="562"/>
        <w:rPr>
          <w:color w:val="000000" w:themeColor="text1"/>
        </w:rPr>
      </w:pPr>
      <w:bookmarkStart w:id="77" w:name="_Toc12776"/>
      <w:bookmarkStart w:id="78" w:name="_Toc30543"/>
      <w:r>
        <w:rPr>
          <w:rFonts w:hint="eastAsia"/>
          <w:color w:val="000000" w:themeColor="text1"/>
        </w:rPr>
        <w:t>（2）不落下一个贫困学生</w:t>
      </w:r>
      <w:bookmarkEnd w:id="77"/>
      <w:bookmarkEnd w:id="78"/>
    </w:p>
    <w:p>
      <w:pPr>
        <w:spacing w:line="360" w:lineRule="auto"/>
        <w:ind w:firstLine="480"/>
        <w:rPr>
          <w:rFonts w:ascii="宋体" w:hAnsi="宋体"/>
          <w:sz w:val="24"/>
        </w:rPr>
      </w:pPr>
      <w:r>
        <w:rPr>
          <w:rFonts w:hint="eastAsia" w:ascii="宋体" w:hAnsi="宋体"/>
          <w:sz w:val="24"/>
        </w:rPr>
        <w:t>学院始终坚持以学生为本的理念，完善了“奖、助、贷、勤、减”为一体的资助体系，采取多种资助途径和措施，切实做好各项学生资助工作，让家庭贫困学生感受到爱心和温暖。2017学年，学院共发放国家奖学金、国家励志奖学金、国家助学金、国家（省）助学贷款等项目金额共计1096.43万元，后勤处、教务处等部门联合学生工作处充分调研，提供教室卫生维护、校园文明监督岗、实验实训室助理等勤工俭学岗位197个，奖助人数共计2762人次，有效解决经济困难学生学习、生活方面存在的问题（见表2-1）。</w:t>
      </w:r>
    </w:p>
    <w:p>
      <w:pPr>
        <w:spacing w:line="360" w:lineRule="auto"/>
        <w:jc w:val="center"/>
        <w:rPr>
          <w:rFonts w:ascii="宋体" w:hAnsi="宋体"/>
          <w:b/>
          <w:szCs w:val="21"/>
        </w:rPr>
      </w:pPr>
      <w:r>
        <w:rPr>
          <w:rFonts w:hint="eastAsia" w:ascii="宋体" w:hAnsi="宋体"/>
          <w:b/>
          <w:szCs w:val="21"/>
        </w:rPr>
        <w:t>表2-1  学院</w:t>
      </w:r>
      <w:r>
        <w:rPr>
          <w:rFonts w:ascii="宋体" w:hAnsi="宋体"/>
          <w:b/>
          <w:szCs w:val="21"/>
        </w:rPr>
        <w:t>201</w:t>
      </w:r>
      <w:r>
        <w:rPr>
          <w:rFonts w:hint="eastAsia" w:ascii="宋体" w:hAnsi="宋体"/>
          <w:b/>
          <w:szCs w:val="21"/>
        </w:rPr>
        <w:t>6</w:t>
      </w:r>
      <w:r>
        <w:rPr>
          <w:rFonts w:ascii="宋体" w:hAnsi="宋体"/>
          <w:b/>
          <w:szCs w:val="21"/>
        </w:rPr>
        <w:t>-201</w:t>
      </w:r>
      <w:r>
        <w:rPr>
          <w:rFonts w:hint="eastAsia" w:ascii="宋体" w:hAnsi="宋体"/>
          <w:b/>
          <w:szCs w:val="21"/>
        </w:rPr>
        <w:t>7学年奖助学金一览表</w:t>
      </w:r>
    </w:p>
    <w:tbl>
      <w:tblPr>
        <w:tblStyle w:val="18"/>
        <w:tblW w:w="8645" w:type="dxa"/>
        <w:jc w:val="center"/>
        <w:tblInd w:w="0" w:type="dxa"/>
        <w:tblLayout w:type="fixed"/>
        <w:tblCellMar>
          <w:top w:w="0" w:type="dxa"/>
          <w:left w:w="108" w:type="dxa"/>
          <w:bottom w:w="0" w:type="dxa"/>
          <w:right w:w="108" w:type="dxa"/>
        </w:tblCellMar>
      </w:tblPr>
      <w:tblGrid>
        <w:gridCol w:w="677"/>
        <w:gridCol w:w="1969"/>
        <w:gridCol w:w="1251"/>
        <w:gridCol w:w="2730"/>
        <w:gridCol w:w="862"/>
        <w:gridCol w:w="1156"/>
      </w:tblGrid>
      <w:tr>
        <w:tblPrEx>
          <w:tblLayout w:type="fixed"/>
          <w:tblCellMar>
            <w:top w:w="0" w:type="dxa"/>
            <w:left w:w="108" w:type="dxa"/>
            <w:bottom w:w="0" w:type="dxa"/>
            <w:right w:w="108" w:type="dxa"/>
          </w:tblCellMar>
        </w:tblPrEx>
        <w:trPr>
          <w:trHeight w:val="702" w:hRule="atLeast"/>
          <w:jc w:val="center"/>
        </w:trPr>
        <w:tc>
          <w:tcPr>
            <w:tcW w:w="677" w:type="dxa"/>
            <w:tcBorders>
              <w:top w:val="single" w:color="auto" w:sz="4" w:space="0"/>
              <w:left w:val="single" w:color="auto" w:sz="4" w:space="0"/>
              <w:bottom w:val="single" w:color="auto" w:sz="4" w:space="0"/>
              <w:right w:val="single" w:color="C0C0C0" w:sz="4" w:space="0"/>
            </w:tcBorders>
            <w:shd w:val="clear" w:color="auto" w:fill="FF6600"/>
            <w:vAlign w:val="center"/>
          </w:tcPr>
          <w:p>
            <w:pPr>
              <w:widowControl/>
              <w:jc w:val="center"/>
              <w:rPr>
                <w:rFonts w:ascii="宋体" w:hAnsi="宋体" w:cs="宋体"/>
                <w:b/>
                <w:kern w:val="0"/>
                <w:szCs w:val="21"/>
              </w:rPr>
            </w:pPr>
            <w:r>
              <w:rPr>
                <w:rFonts w:hint="eastAsia" w:ascii="宋体" w:hAnsi="宋体" w:cs="宋体"/>
                <w:b/>
                <w:kern w:val="0"/>
                <w:szCs w:val="21"/>
              </w:rPr>
              <w:t>序号</w:t>
            </w:r>
          </w:p>
        </w:tc>
        <w:tc>
          <w:tcPr>
            <w:tcW w:w="1969" w:type="dxa"/>
            <w:tcBorders>
              <w:top w:val="single" w:color="auto" w:sz="4" w:space="0"/>
              <w:left w:val="nil"/>
              <w:bottom w:val="single" w:color="auto" w:sz="4" w:space="0"/>
              <w:right w:val="single" w:color="C0C0C0" w:sz="4" w:space="0"/>
            </w:tcBorders>
            <w:shd w:val="clear" w:color="auto" w:fill="FF6600"/>
            <w:vAlign w:val="center"/>
          </w:tcPr>
          <w:p>
            <w:pPr>
              <w:widowControl/>
              <w:jc w:val="center"/>
              <w:rPr>
                <w:rFonts w:ascii="宋体" w:hAnsi="宋体" w:cs="宋体"/>
                <w:b/>
                <w:kern w:val="0"/>
                <w:szCs w:val="21"/>
              </w:rPr>
            </w:pPr>
            <w:r>
              <w:rPr>
                <w:rFonts w:hint="eastAsia" w:ascii="宋体" w:hAnsi="宋体" w:cs="宋体"/>
                <w:b/>
                <w:kern w:val="0"/>
                <w:szCs w:val="21"/>
              </w:rPr>
              <w:t>项目名称</w:t>
            </w:r>
          </w:p>
        </w:tc>
        <w:tc>
          <w:tcPr>
            <w:tcW w:w="1251" w:type="dxa"/>
            <w:tcBorders>
              <w:top w:val="single" w:color="auto" w:sz="4" w:space="0"/>
              <w:left w:val="nil"/>
              <w:bottom w:val="single" w:color="auto" w:sz="4" w:space="0"/>
              <w:right w:val="single" w:color="C0C0C0" w:sz="4" w:space="0"/>
            </w:tcBorders>
            <w:shd w:val="clear" w:color="auto" w:fill="FF6600"/>
            <w:vAlign w:val="center"/>
          </w:tcPr>
          <w:p>
            <w:pPr>
              <w:widowControl/>
              <w:jc w:val="center"/>
              <w:rPr>
                <w:rFonts w:ascii="宋体" w:hAnsi="宋体" w:cs="宋体"/>
                <w:b/>
                <w:kern w:val="0"/>
                <w:szCs w:val="21"/>
              </w:rPr>
            </w:pPr>
            <w:r>
              <w:rPr>
                <w:rFonts w:hint="eastAsia" w:ascii="宋体" w:hAnsi="宋体" w:cs="宋体"/>
                <w:b/>
                <w:kern w:val="0"/>
                <w:szCs w:val="21"/>
              </w:rPr>
              <w:t>项目种类</w:t>
            </w:r>
          </w:p>
        </w:tc>
        <w:tc>
          <w:tcPr>
            <w:tcW w:w="2730" w:type="dxa"/>
            <w:tcBorders>
              <w:top w:val="single" w:color="auto" w:sz="4" w:space="0"/>
              <w:left w:val="nil"/>
              <w:bottom w:val="single" w:color="auto" w:sz="4" w:space="0"/>
              <w:right w:val="single" w:color="C0C0C0" w:sz="4" w:space="0"/>
            </w:tcBorders>
            <w:shd w:val="clear" w:color="auto" w:fill="FF6600"/>
            <w:vAlign w:val="center"/>
          </w:tcPr>
          <w:p>
            <w:pPr>
              <w:widowControl/>
              <w:jc w:val="center"/>
              <w:rPr>
                <w:rFonts w:ascii="宋体" w:hAnsi="宋体" w:cs="宋体"/>
                <w:b/>
                <w:kern w:val="0"/>
                <w:szCs w:val="21"/>
              </w:rPr>
            </w:pPr>
            <w:r>
              <w:rPr>
                <w:rFonts w:hint="eastAsia" w:ascii="宋体" w:hAnsi="宋体" w:cs="宋体"/>
                <w:b/>
                <w:kern w:val="0"/>
                <w:szCs w:val="21"/>
              </w:rPr>
              <w:t>奖助范围</w:t>
            </w:r>
          </w:p>
        </w:tc>
        <w:tc>
          <w:tcPr>
            <w:tcW w:w="862" w:type="dxa"/>
            <w:tcBorders>
              <w:top w:val="single" w:color="auto" w:sz="4" w:space="0"/>
              <w:left w:val="nil"/>
              <w:bottom w:val="single" w:color="auto" w:sz="4" w:space="0"/>
              <w:right w:val="single" w:color="C0C0C0" w:sz="4" w:space="0"/>
            </w:tcBorders>
            <w:shd w:val="clear" w:color="auto" w:fill="FF6600"/>
            <w:vAlign w:val="center"/>
          </w:tcPr>
          <w:p>
            <w:pPr>
              <w:widowControl/>
              <w:jc w:val="center"/>
              <w:rPr>
                <w:rFonts w:ascii="宋体" w:hAnsi="宋体" w:cs="宋体"/>
                <w:b/>
                <w:kern w:val="0"/>
                <w:szCs w:val="21"/>
              </w:rPr>
            </w:pPr>
            <w:r>
              <w:rPr>
                <w:rFonts w:hint="eastAsia" w:ascii="宋体" w:hAnsi="宋体" w:cs="宋体"/>
                <w:b/>
                <w:kern w:val="0"/>
                <w:szCs w:val="21"/>
              </w:rPr>
              <w:t>奖助</w:t>
            </w:r>
          </w:p>
          <w:p>
            <w:pPr>
              <w:widowControl/>
              <w:jc w:val="center"/>
              <w:rPr>
                <w:rFonts w:ascii="宋体" w:hAnsi="宋体" w:cs="宋体"/>
                <w:b/>
                <w:kern w:val="0"/>
                <w:szCs w:val="21"/>
              </w:rPr>
            </w:pPr>
            <w:r>
              <w:rPr>
                <w:rFonts w:hint="eastAsia" w:ascii="宋体" w:hAnsi="宋体" w:cs="宋体"/>
                <w:b/>
                <w:kern w:val="0"/>
                <w:szCs w:val="21"/>
              </w:rPr>
              <w:t>人数</w:t>
            </w:r>
          </w:p>
        </w:tc>
        <w:tc>
          <w:tcPr>
            <w:tcW w:w="1156" w:type="dxa"/>
            <w:tcBorders>
              <w:top w:val="single" w:color="auto" w:sz="4" w:space="0"/>
              <w:left w:val="nil"/>
              <w:bottom w:val="single" w:color="auto" w:sz="4" w:space="0"/>
              <w:right w:val="single" w:color="auto" w:sz="4" w:space="0"/>
            </w:tcBorders>
            <w:shd w:val="clear" w:color="auto" w:fill="FF6600"/>
            <w:vAlign w:val="center"/>
          </w:tcPr>
          <w:p>
            <w:pPr>
              <w:widowControl/>
              <w:jc w:val="center"/>
              <w:rPr>
                <w:rFonts w:ascii="宋体" w:hAnsi="宋体" w:cs="宋体"/>
                <w:b/>
                <w:kern w:val="0"/>
                <w:szCs w:val="21"/>
              </w:rPr>
            </w:pPr>
            <w:r>
              <w:rPr>
                <w:rFonts w:hint="eastAsia" w:ascii="宋体" w:hAnsi="宋体" w:cs="宋体"/>
                <w:b/>
                <w:kern w:val="0"/>
                <w:szCs w:val="21"/>
              </w:rPr>
              <w:t>奖助金额（万元）</w:t>
            </w:r>
          </w:p>
        </w:tc>
      </w:tr>
      <w:tr>
        <w:tblPrEx>
          <w:tblLayout w:type="fixed"/>
          <w:tblCellMar>
            <w:top w:w="0" w:type="dxa"/>
            <w:left w:w="108" w:type="dxa"/>
            <w:bottom w:w="0" w:type="dxa"/>
            <w:right w:w="108" w:type="dxa"/>
          </w:tblCellMar>
        </w:tblPrEx>
        <w:trPr>
          <w:trHeight w:val="589" w:hRule="atLeast"/>
          <w:jc w:val="center"/>
        </w:trPr>
        <w:tc>
          <w:tcPr>
            <w:tcW w:w="677" w:type="dxa"/>
            <w:tcBorders>
              <w:top w:val="single" w:color="auto" w:sz="4" w:space="0"/>
              <w:left w:val="single" w:color="000000" w:sz="4" w:space="0"/>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1969" w:type="dxa"/>
            <w:tcBorders>
              <w:top w:val="single" w:color="auto"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国家奖学金</w:t>
            </w:r>
          </w:p>
        </w:tc>
        <w:tc>
          <w:tcPr>
            <w:tcW w:w="1251" w:type="dxa"/>
            <w:tcBorders>
              <w:top w:val="single" w:color="auto"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奖学金</w:t>
            </w:r>
          </w:p>
        </w:tc>
        <w:tc>
          <w:tcPr>
            <w:tcW w:w="2730" w:type="dxa"/>
            <w:tcBorders>
              <w:top w:val="single" w:color="auto"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大二、大三学生</w:t>
            </w:r>
          </w:p>
        </w:tc>
        <w:tc>
          <w:tcPr>
            <w:tcW w:w="862" w:type="dxa"/>
            <w:tcBorders>
              <w:top w:val="single" w:color="auto"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5</w:t>
            </w:r>
          </w:p>
        </w:tc>
        <w:tc>
          <w:tcPr>
            <w:tcW w:w="1156" w:type="dxa"/>
            <w:tcBorders>
              <w:top w:val="single" w:color="auto"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4</w:t>
            </w:r>
          </w:p>
        </w:tc>
      </w:tr>
      <w:tr>
        <w:tblPrEx>
          <w:tblLayout w:type="fixed"/>
          <w:tblCellMar>
            <w:top w:w="0" w:type="dxa"/>
            <w:left w:w="108" w:type="dxa"/>
            <w:bottom w:w="0" w:type="dxa"/>
            <w:right w:w="108" w:type="dxa"/>
          </w:tblCellMar>
        </w:tblPrEx>
        <w:trPr>
          <w:trHeight w:val="625"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2</w:t>
            </w:r>
          </w:p>
        </w:tc>
        <w:tc>
          <w:tcPr>
            <w:tcW w:w="1969"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国家励志奖学金</w:t>
            </w:r>
          </w:p>
        </w:tc>
        <w:tc>
          <w:tcPr>
            <w:tcW w:w="1251"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奖学金</w:t>
            </w:r>
          </w:p>
        </w:tc>
        <w:tc>
          <w:tcPr>
            <w:tcW w:w="2730"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大二、大三学生</w:t>
            </w:r>
          </w:p>
        </w:tc>
        <w:tc>
          <w:tcPr>
            <w:tcW w:w="862"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231</w:t>
            </w:r>
          </w:p>
        </w:tc>
        <w:tc>
          <w:tcPr>
            <w:tcW w:w="1156"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115.5</w:t>
            </w:r>
          </w:p>
        </w:tc>
      </w:tr>
      <w:tr>
        <w:tblPrEx>
          <w:tblLayout w:type="fixed"/>
          <w:tblCellMar>
            <w:top w:w="0" w:type="dxa"/>
            <w:left w:w="108" w:type="dxa"/>
            <w:bottom w:w="0" w:type="dxa"/>
            <w:right w:w="108" w:type="dxa"/>
          </w:tblCellMar>
        </w:tblPrEx>
        <w:trPr>
          <w:trHeight w:val="605"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3</w:t>
            </w:r>
          </w:p>
        </w:tc>
        <w:tc>
          <w:tcPr>
            <w:tcW w:w="1969"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国家助学金</w:t>
            </w:r>
          </w:p>
        </w:tc>
        <w:tc>
          <w:tcPr>
            <w:tcW w:w="1251"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助学金</w:t>
            </w:r>
          </w:p>
        </w:tc>
        <w:tc>
          <w:tcPr>
            <w:tcW w:w="2730"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大一、大二、大三学生</w:t>
            </w:r>
          </w:p>
        </w:tc>
        <w:tc>
          <w:tcPr>
            <w:tcW w:w="862"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1,800</w:t>
            </w:r>
          </w:p>
        </w:tc>
        <w:tc>
          <w:tcPr>
            <w:tcW w:w="1156"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540</w:t>
            </w:r>
          </w:p>
        </w:tc>
      </w:tr>
      <w:tr>
        <w:tblPrEx>
          <w:tblLayout w:type="fixed"/>
          <w:tblCellMar>
            <w:top w:w="0" w:type="dxa"/>
            <w:left w:w="108" w:type="dxa"/>
            <w:bottom w:w="0" w:type="dxa"/>
            <w:right w:w="108" w:type="dxa"/>
          </w:tblCellMar>
        </w:tblPrEx>
        <w:trPr>
          <w:trHeight w:val="601"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4</w:t>
            </w:r>
          </w:p>
        </w:tc>
        <w:tc>
          <w:tcPr>
            <w:tcW w:w="1969"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生源地贷款</w:t>
            </w:r>
          </w:p>
        </w:tc>
        <w:tc>
          <w:tcPr>
            <w:tcW w:w="1251"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助学贷款</w:t>
            </w:r>
          </w:p>
        </w:tc>
        <w:tc>
          <w:tcPr>
            <w:tcW w:w="2730"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大一、大二、大三学生</w:t>
            </w:r>
          </w:p>
        </w:tc>
        <w:tc>
          <w:tcPr>
            <w:tcW w:w="862"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529</w:t>
            </w:r>
          </w:p>
        </w:tc>
        <w:tc>
          <w:tcPr>
            <w:tcW w:w="1156"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 xml:space="preserve">396.93 </w:t>
            </w:r>
          </w:p>
        </w:tc>
      </w:tr>
      <w:tr>
        <w:tblPrEx>
          <w:tblLayout w:type="fixed"/>
          <w:tblCellMar>
            <w:top w:w="0" w:type="dxa"/>
            <w:left w:w="108" w:type="dxa"/>
            <w:bottom w:w="0" w:type="dxa"/>
            <w:right w:w="108" w:type="dxa"/>
          </w:tblCellMar>
        </w:tblPrEx>
        <w:trPr>
          <w:trHeight w:val="601"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5</w:t>
            </w:r>
          </w:p>
        </w:tc>
        <w:tc>
          <w:tcPr>
            <w:tcW w:w="1969"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勤工俭学</w:t>
            </w:r>
          </w:p>
        </w:tc>
        <w:tc>
          <w:tcPr>
            <w:tcW w:w="1251"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勤工助学</w:t>
            </w:r>
          </w:p>
        </w:tc>
        <w:tc>
          <w:tcPr>
            <w:tcW w:w="2730"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大一、大二、大三学生</w:t>
            </w:r>
          </w:p>
        </w:tc>
        <w:tc>
          <w:tcPr>
            <w:tcW w:w="862"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197</w:t>
            </w:r>
          </w:p>
        </w:tc>
        <w:tc>
          <w:tcPr>
            <w:tcW w:w="1156"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40</w:t>
            </w:r>
          </w:p>
        </w:tc>
      </w:tr>
      <w:tr>
        <w:tblPrEx>
          <w:tblLayout w:type="fixed"/>
          <w:tblCellMar>
            <w:top w:w="0" w:type="dxa"/>
            <w:left w:w="108" w:type="dxa"/>
            <w:bottom w:w="0" w:type="dxa"/>
            <w:right w:w="108" w:type="dxa"/>
          </w:tblCellMar>
        </w:tblPrEx>
        <w:trPr>
          <w:trHeight w:val="601" w:hRule="atLeast"/>
          <w:jc w:val="center"/>
        </w:trPr>
        <w:tc>
          <w:tcPr>
            <w:tcW w:w="6627" w:type="dxa"/>
            <w:gridSpan w:val="4"/>
            <w:tcBorders>
              <w:top w:val="single" w:color="000000" w:sz="4" w:space="0"/>
              <w:left w:val="single" w:color="000000" w:sz="4" w:space="0"/>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b/>
                <w:bCs/>
                <w:kern w:val="0"/>
                <w:szCs w:val="21"/>
              </w:rPr>
            </w:pPr>
            <w:r>
              <w:rPr>
                <w:rFonts w:hint="eastAsia" w:asciiTheme="minorEastAsia" w:hAnsiTheme="minorEastAsia" w:cstheme="minorEastAsia"/>
                <w:b/>
                <w:bCs/>
                <w:kern w:val="0"/>
                <w:szCs w:val="21"/>
              </w:rPr>
              <w:t>合计</w:t>
            </w:r>
          </w:p>
        </w:tc>
        <w:tc>
          <w:tcPr>
            <w:tcW w:w="862"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2762</w:t>
            </w:r>
          </w:p>
        </w:tc>
        <w:tc>
          <w:tcPr>
            <w:tcW w:w="1156" w:type="dxa"/>
            <w:tcBorders>
              <w:top w:val="single" w:color="000000" w:sz="4" w:space="0"/>
              <w:left w:val="nil"/>
              <w:bottom w:val="single" w:color="000000" w:sz="4" w:space="0"/>
              <w:right w:val="single" w:color="000000" w:sz="4" w:space="0"/>
            </w:tcBorders>
            <w:shd w:val="clear" w:color="auto" w:fill="CCFFFF"/>
            <w:vAlign w:val="center"/>
          </w:tcPr>
          <w:p>
            <w:pPr>
              <w:widowControl/>
              <w:jc w:val="center"/>
              <w:rPr>
                <w:rFonts w:asciiTheme="minorEastAsia" w:hAnsiTheme="minorEastAsia" w:cstheme="minorEastAsia"/>
                <w:kern w:val="0"/>
                <w:szCs w:val="21"/>
              </w:rPr>
            </w:pPr>
          </w:p>
        </w:tc>
      </w:tr>
    </w:tbl>
    <w:p>
      <w:pPr>
        <w:adjustRightInd w:val="0"/>
        <w:snapToGrid w:val="0"/>
        <w:spacing w:line="360" w:lineRule="auto"/>
        <w:jc w:val="right"/>
        <w:rPr>
          <w:rFonts w:ascii="仿宋_GB2312" w:hAnsi="宋体" w:eastAsia="仿宋_GB2312"/>
          <w:b/>
          <w:bCs/>
          <w:color w:val="3366FF"/>
          <w:sz w:val="24"/>
        </w:rPr>
      </w:pPr>
      <w:r>
        <w:rPr>
          <w:rFonts w:hint="eastAsia" w:ascii="宋体" w:hAnsi="宋体" w:eastAsia="宋体" w:cs="宋体"/>
          <w:b/>
        </w:rPr>
        <w:t>数据来源：全国高职院校状态数据采集与管理系统</w:t>
      </w:r>
    </w:p>
    <w:p>
      <w:pPr>
        <w:pStyle w:val="3"/>
      </w:pPr>
      <w:bookmarkStart w:id="79" w:name="_Toc2608"/>
      <w:bookmarkStart w:id="80" w:name="_Toc1652"/>
      <w:r>
        <w:rPr>
          <w:rFonts w:hint="eastAsia"/>
        </w:rPr>
        <w:t>2.6 计分卡</w:t>
      </w:r>
      <w:bookmarkEnd w:id="79"/>
      <w:bookmarkEnd w:id="80"/>
    </w:p>
    <w:p>
      <w:pPr>
        <w:spacing w:line="360" w:lineRule="auto"/>
        <w:ind w:firstLine="480"/>
        <w:rPr>
          <w:rFonts w:ascii="宋体" w:hAnsi="宋体"/>
          <w:sz w:val="24"/>
        </w:rPr>
      </w:pPr>
      <w:r>
        <w:rPr>
          <w:rFonts w:hint="eastAsia" w:ascii="宋体" w:hAnsi="宋体"/>
          <w:sz w:val="24"/>
        </w:rPr>
        <w:t>记分卡中，毕业生就业率、就业起薪点、专业相关度均有明显提升，学生对母校的满意度、同人单位对毕业生的满意度也有相应增长，毕业生在工作单位的成长空间大、职业发展通道顺畅，说明学院毕业生就业竞争力不断提升。</w:t>
      </w:r>
    </w:p>
    <w:p>
      <w:pPr>
        <w:spacing w:line="360" w:lineRule="auto"/>
        <w:jc w:val="center"/>
        <w:rPr>
          <w:rFonts w:ascii="宋体" w:hAnsi="宋体"/>
          <w:b/>
          <w:szCs w:val="21"/>
        </w:rPr>
      </w:pPr>
      <w:r>
        <w:rPr>
          <w:rFonts w:hint="eastAsia" w:ascii="宋体" w:hAnsi="宋体"/>
          <w:b/>
          <w:szCs w:val="21"/>
        </w:rPr>
        <w:t>表2-2 计分卡</w:t>
      </w:r>
    </w:p>
    <w:tbl>
      <w:tblPr>
        <w:tblStyle w:val="18"/>
        <w:tblW w:w="8562" w:type="dxa"/>
        <w:jc w:val="center"/>
        <w:tblInd w:w="0" w:type="dxa"/>
        <w:tblLayout w:type="fixed"/>
        <w:tblCellMar>
          <w:top w:w="0" w:type="dxa"/>
          <w:left w:w="108" w:type="dxa"/>
          <w:bottom w:w="0" w:type="dxa"/>
          <w:right w:w="108" w:type="dxa"/>
        </w:tblCellMar>
      </w:tblPr>
      <w:tblGrid>
        <w:gridCol w:w="765"/>
        <w:gridCol w:w="767"/>
        <w:gridCol w:w="473"/>
        <w:gridCol w:w="3506"/>
        <w:gridCol w:w="1011"/>
        <w:gridCol w:w="983"/>
        <w:gridCol w:w="1057"/>
      </w:tblGrid>
      <w:tr>
        <w:tblPrEx>
          <w:tblLayout w:type="fixed"/>
          <w:tblCellMar>
            <w:top w:w="0" w:type="dxa"/>
            <w:left w:w="108" w:type="dxa"/>
            <w:bottom w:w="0" w:type="dxa"/>
            <w:right w:w="108" w:type="dxa"/>
          </w:tblCellMar>
        </w:tblPrEx>
        <w:trPr>
          <w:trHeight w:val="707" w:hRule="atLeast"/>
          <w:jc w:val="center"/>
        </w:trPr>
        <w:tc>
          <w:tcPr>
            <w:tcW w:w="765" w:type="dxa"/>
            <w:tcBorders>
              <w:top w:val="single" w:color="auto" w:sz="4" w:space="0"/>
              <w:left w:val="single" w:color="auto" w:sz="4" w:space="0"/>
              <w:bottom w:val="single" w:color="auto" w:sz="4" w:space="0"/>
            </w:tcBorders>
            <w:shd w:val="clear" w:color="auto" w:fill="auto"/>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院校代码</w:t>
            </w:r>
          </w:p>
        </w:tc>
        <w:tc>
          <w:tcPr>
            <w:tcW w:w="767" w:type="dxa"/>
            <w:tcBorders>
              <w:top w:val="single" w:color="auto" w:sz="4" w:space="0"/>
              <w:left w:val="single" w:color="auto" w:sz="4" w:space="0"/>
              <w:bottom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院校名称</w:t>
            </w:r>
          </w:p>
        </w:tc>
        <w:tc>
          <w:tcPr>
            <w:tcW w:w="39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指标</w:t>
            </w:r>
          </w:p>
        </w:tc>
        <w:tc>
          <w:tcPr>
            <w:tcW w:w="1011"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单位</w:t>
            </w:r>
          </w:p>
        </w:tc>
        <w:tc>
          <w:tcPr>
            <w:tcW w:w="983"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201</w:t>
            </w:r>
            <w:r>
              <w:rPr>
                <w:rFonts w:ascii="仿宋_GB2312" w:hAnsi="宋体" w:eastAsia="仿宋_GB2312" w:cs="宋体"/>
                <w:b/>
                <w:bCs/>
                <w:kern w:val="0"/>
                <w:sz w:val="24"/>
              </w:rPr>
              <w:t>6</w:t>
            </w:r>
            <w:r>
              <w:rPr>
                <w:rFonts w:hint="eastAsia" w:ascii="仿宋_GB2312" w:hAnsi="宋体" w:eastAsia="仿宋_GB2312" w:cs="宋体"/>
                <w:b/>
                <w:bCs/>
                <w:kern w:val="0"/>
                <w:sz w:val="24"/>
              </w:rPr>
              <w:t>年</w:t>
            </w:r>
          </w:p>
        </w:tc>
        <w:tc>
          <w:tcPr>
            <w:tcW w:w="1057"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201</w:t>
            </w:r>
            <w:r>
              <w:rPr>
                <w:rFonts w:ascii="仿宋_GB2312" w:hAnsi="宋体" w:eastAsia="仿宋_GB2312" w:cs="宋体"/>
                <w:b/>
                <w:bCs/>
                <w:kern w:val="0"/>
                <w:sz w:val="24"/>
              </w:rPr>
              <w:t>7</w:t>
            </w:r>
            <w:r>
              <w:rPr>
                <w:rFonts w:hint="eastAsia" w:ascii="仿宋_GB2312" w:hAnsi="宋体" w:eastAsia="仿宋_GB2312" w:cs="宋体"/>
                <w:b/>
                <w:bCs/>
                <w:kern w:val="0"/>
                <w:sz w:val="24"/>
              </w:rPr>
              <w:t>年</w:t>
            </w:r>
          </w:p>
        </w:tc>
      </w:tr>
      <w:tr>
        <w:tblPrEx>
          <w:tblLayout w:type="fixed"/>
          <w:tblCellMar>
            <w:top w:w="0" w:type="dxa"/>
            <w:left w:w="108" w:type="dxa"/>
            <w:bottom w:w="0" w:type="dxa"/>
            <w:right w:w="108" w:type="dxa"/>
          </w:tblCellMar>
        </w:tblPrEx>
        <w:trPr>
          <w:trHeight w:val="285" w:hRule="atLeast"/>
          <w:jc w:val="center"/>
        </w:trPr>
        <w:tc>
          <w:tcPr>
            <w:tcW w:w="765" w:type="dxa"/>
            <w:vMerge w:val="restart"/>
            <w:tcBorders>
              <w:top w:val="single" w:color="auto" w:sz="4" w:space="0"/>
              <w:lef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Cs w:val="21"/>
              </w:rPr>
            </w:pPr>
            <w:r>
              <w:rPr>
                <w:rFonts w:hint="eastAsia" w:ascii="仿宋_GB2312" w:hAnsi="宋体" w:eastAsia="仿宋_GB2312" w:cs="宋体"/>
                <w:kern w:val="0"/>
                <w:szCs w:val="21"/>
              </w:rPr>
              <w:t>13043</w:t>
            </w:r>
          </w:p>
        </w:tc>
        <w:tc>
          <w:tcPr>
            <w:tcW w:w="767" w:type="dxa"/>
            <w:vMerge w:val="restart"/>
            <w:tcBorders>
              <w:top w:val="single" w:color="auto" w:sz="4" w:space="0"/>
              <w:lef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Cs w:val="21"/>
              </w:rPr>
            </w:pPr>
            <w:r>
              <w:rPr>
                <w:rFonts w:hint="eastAsia" w:ascii="仿宋_GB2312" w:hAnsi="宋体" w:eastAsia="仿宋_GB2312" w:cs="宋体"/>
                <w:kern w:val="0"/>
                <w:szCs w:val="21"/>
              </w:rPr>
              <w:t>湖南化工职业技术学院</w:t>
            </w: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1</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就业率</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93.03</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97.86</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767"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2</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月收入</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元</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3752</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3979</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tcBorders>
            <w:shd w:val="clear" w:color="auto" w:fill="auto"/>
          </w:tcPr>
          <w:p>
            <w:pPr>
              <w:widowControl/>
              <w:snapToGrid w:val="0"/>
              <w:spacing w:line="312" w:lineRule="auto"/>
              <w:ind w:firstLine="120" w:firstLineChars="50"/>
              <w:rPr>
                <w:rFonts w:ascii="仿宋_GB2312" w:hAnsi="宋体" w:eastAsia="仿宋_GB2312" w:cs="宋体"/>
                <w:kern w:val="0"/>
                <w:sz w:val="24"/>
              </w:rPr>
            </w:pPr>
          </w:p>
        </w:tc>
        <w:tc>
          <w:tcPr>
            <w:tcW w:w="767" w:type="dxa"/>
            <w:vMerge w:val="continue"/>
            <w:tcBorders>
              <w:left w:val="single" w:color="auto" w:sz="4" w:space="0"/>
            </w:tcBorders>
            <w:shd w:val="clear" w:color="auto" w:fill="auto"/>
          </w:tcPr>
          <w:p>
            <w:pPr>
              <w:widowControl/>
              <w:snapToGrid w:val="0"/>
              <w:spacing w:line="312" w:lineRule="auto"/>
              <w:ind w:firstLine="120" w:firstLineChars="50"/>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3</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理工农医类专业相关度</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94.15</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93.74</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tcBorders>
            <w:shd w:val="clear" w:color="auto" w:fill="auto"/>
          </w:tcPr>
          <w:p>
            <w:pPr>
              <w:widowControl/>
              <w:snapToGrid w:val="0"/>
              <w:spacing w:line="312" w:lineRule="auto"/>
              <w:ind w:firstLine="120" w:firstLineChars="50"/>
              <w:rPr>
                <w:rFonts w:ascii="仿宋_GB2312" w:hAnsi="宋体" w:eastAsia="仿宋_GB2312" w:cs="宋体"/>
                <w:kern w:val="0"/>
                <w:sz w:val="24"/>
              </w:rPr>
            </w:pPr>
          </w:p>
        </w:tc>
        <w:tc>
          <w:tcPr>
            <w:tcW w:w="767" w:type="dxa"/>
            <w:vMerge w:val="continue"/>
            <w:tcBorders>
              <w:left w:val="single" w:color="auto" w:sz="4" w:space="0"/>
            </w:tcBorders>
            <w:shd w:val="clear" w:color="auto" w:fill="auto"/>
          </w:tcPr>
          <w:p>
            <w:pPr>
              <w:widowControl/>
              <w:snapToGrid w:val="0"/>
              <w:spacing w:line="312" w:lineRule="auto"/>
              <w:ind w:firstLine="120" w:firstLineChars="50"/>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4</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母校满意度</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97.48</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98.57</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767"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5</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自主创业比例</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4.7</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4.7</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767"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6</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雇主满意度</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98.78</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97.86</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bottom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767" w:type="dxa"/>
            <w:vMerge w:val="continue"/>
            <w:tcBorders>
              <w:left w:val="single" w:color="auto" w:sz="4" w:space="0"/>
              <w:bottom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7</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毕业三年职位晋升比例</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46.13</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72.41</w:t>
            </w:r>
          </w:p>
        </w:tc>
      </w:tr>
    </w:tbl>
    <w:p>
      <w:pPr>
        <w:adjustRightInd w:val="0"/>
        <w:snapToGrid w:val="0"/>
        <w:spacing w:line="360" w:lineRule="auto"/>
        <w:rPr>
          <w:rFonts w:asciiTheme="minorEastAsia" w:hAnsiTheme="minorEastAsia" w:cstheme="minorEastAsia"/>
          <w:b/>
          <w:bCs/>
          <w:sz w:val="28"/>
          <w:szCs w:val="28"/>
        </w:rPr>
      </w:pPr>
    </w:p>
    <w:p>
      <w:pPr>
        <w:adjustRightInd w:val="0"/>
        <w:snapToGrid w:val="0"/>
        <w:spacing w:line="360" w:lineRule="auto"/>
        <w:rPr>
          <w:rFonts w:asciiTheme="minorEastAsia" w:hAnsiTheme="minorEastAsia" w:cstheme="minorEastAsia"/>
          <w:b/>
          <w:bCs/>
          <w:szCs w:val="21"/>
        </w:rPr>
      </w:pPr>
      <w:r>
        <w:rPr>
          <w:rFonts w:hint="eastAsia" w:asciiTheme="minorEastAsia" w:hAnsiTheme="minorEastAsia" w:cstheme="minorEastAsia"/>
          <w:szCs w:val="21"/>
        </w:rPr>
        <w:t>注：2012、2013届毕业生抽样调查将职位晋升明确为：岗位职务晋升和职业资格晋升，2014届毕业生抽样调查按教育部文件要求，扩大了职位晋升的范围，因此，一是数据出现较大增长，二是不方便与前两届毕业生进行对比（2014届毕业生抽样人数140人，有效数据116人，图中相关比例的计算以116人基准）。</w:t>
      </w:r>
    </w:p>
    <w:p>
      <w:pPr>
        <w:adjustRightInd w:val="0"/>
        <w:snapToGrid w:val="0"/>
        <w:spacing w:line="360" w:lineRule="auto"/>
        <w:rPr>
          <w:rFonts w:asciiTheme="minorEastAsia" w:hAnsiTheme="minorEastAsia" w:cstheme="minorEastAsia"/>
          <w:b/>
          <w:bCs/>
          <w:sz w:val="28"/>
          <w:szCs w:val="28"/>
        </w:rPr>
      </w:pPr>
    </w:p>
    <w:p>
      <w:pPr>
        <w:adjustRightInd w:val="0"/>
        <w:snapToGrid w:val="0"/>
        <w:spacing w:line="360" w:lineRule="auto"/>
        <w:rPr>
          <w:rFonts w:asciiTheme="minorEastAsia" w:hAnsiTheme="minorEastAsia" w:cstheme="minorEastAsia"/>
          <w:b/>
          <w:bCs/>
          <w:sz w:val="28"/>
          <w:szCs w:val="28"/>
        </w:rPr>
      </w:pPr>
      <w:r>
        <w:rPr>
          <w:rFonts w:hint="eastAsia" w:asciiTheme="minorEastAsia" w:hAnsiTheme="minorEastAsia" w:cstheme="minorEastAsia"/>
          <w:b/>
          <w:bCs/>
          <w:sz w:val="28"/>
          <w:szCs w:val="28"/>
        </w:rPr>
        <w:br w:type="page"/>
      </w:r>
    </w:p>
    <w:p>
      <w:pPr>
        <w:pStyle w:val="2"/>
        <w:rPr>
          <w:rFonts w:hint="default"/>
        </w:rPr>
      </w:pPr>
      <w:bookmarkStart w:id="81" w:name="_Toc8449"/>
      <w:r>
        <w:t>3 教育教学</w:t>
      </w:r>
      <w:bookmarkEnd w:id="81"/>
    </w:p>
    <w:p>
      <w:pPr>
        <w:pStyle w:val="3"/>
      </w:pPr>
      <w:bookmarkStart w:id="82" w:name="_Toc26308"/>
      <w:bookmarkStart w:id="83" w:name="_Toc28707"/>
      <w:r>
        <w:rPr>
          <w:rFonts w:hint="eastAsia"/>
        </w:rPr>
        <w:t>3.1 资源表</w:t>
      </w:r>
      <w:bookmarkEnd w:id="82"/>
      <w:bookmarkEnd w:id="83"/>
    </w:p>
    <w:p>
      <w:pPr>
        <w:spacing w:line="360" w:lineRule="auto"/>
        <w:ind w:firstLine="480"/>
        <w:rPr>
          <w:rFonts w:ascii="宋体" w:hAnsi="宋体"/>
          <w:sz w:val="24"/>
        </w:rPr>
      </w:pPr>
      <w:r>
        <w:rPr>
          <w:rFonts w:hint="eastAsia" w:ascii="宋体" w:hAnsi="宋体"/>
          <w:sz w:val="24"/>
        </w:rPr>
        <w:t>学院加大教师队伍建设力度，通过聘用企业兼职教师、深化专任教师企业培训扥措施，生师比、双师素质比例不断优化；同时，在学生规模快速增长的情况下，不断加大基础设施建设和教学仪器设备投入，生均水平依旧维持较高水平且居于全省高职院校前列；重视智慧校园建设工作，教育信息化水平不断提升，根据专业群建设规划不断整合课程，收到了较好的效果。</w:t>
      </w:r>
    </w:p>
    <w:p>
      <w:pPr>
        <w:spacing w:line="360" w:lineRule="auto"/>
        <w:jc w:val="center"/>
        <w:rPr>
          <w:rFonts w:ascii="宋体" w:hAnsi="宋体"/>
          <w:b/>
          <w:szCs w:val="21"/>
        </w:rPr>
      </w:pPr>
      <w:r>
        <w:rPr>
          <w:rFonts w:hint="eastAsia" w:ascii="宋体" w:hAnsi="宋体"/>
          <w:b/>
          <w:szCs w:val="21"/>
        </w:rPr>
        <w:t>表3-1 资源表</w:t>
      </w:r>
    </w:p>
    <w:tbl>
      <w:tblPr>
        <w:tblStyle w:val="18"/>
        <w:tblpPr w:leftFromText="180" w:rightFromText="180" w:vertAnchor="page" w:horzAnchor="page" w:tblpX="1840" w:tblpY="6239"/>
        <w:tblW w:w="8624" w:type="dxa"/>
        <w:tblInd w:w="0" w:type="dxa"/>
        <w:tblLayout w:type="fixed"/>
        <w:tblCellMar>
          <w:top w:w="0" w:type="dxa"/>
          <w:left w:w="108" w:type="dxa"/>
          <w:bottom w:w="0" w:type="dxa"/>
          <w:right w:w="108" w:type="dxa"/>
        </w:tblCellMar>
      </w:tblPr>
      <w:tblGrid>
        <w:gridCol w:w="819"/>
        <w:gridCol w:w="854"/>
        <w:gridCol w:w="424"/>
        <w:gridCol w:w="3548"/>
        <w:gridCol w:w="993"/>
        <w:gridCol w:w="993"/>
        <w:gridCol w:w="993"/>
      </w:tblGrid>
      <w:tr>
        <w:tblPrEx>
          <w:tblLayout w:type="fixed"/>
          <w:tblCellMar>
            <w:top w:w="0" w:type="dxa"/>
            <w:left w:w="108" w:type="dxa"/>
            <w:bottom w:w="0" w:type="dxa"/>
            <w:right w:w="108" w:type="dxa"/>
          </w:tblCellMar>
        </w:tblPrEx>
        <w:trPr>
          <w:trHeight w:val="288" w:hRule="atLeast"/>
        </w:trPr>
        <w:tc>
          <w:tcPr>
            <w:tcW w:w="8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b/>
                <w:bCs/>
                <w:kern w:val="0"/>
                <w:sz w:val="24"/>
              </w:rPr>
            </w:pPr>
            <w:r>
              <w:rPr>
                <w:rFonts w:hint="eastAsia" w:ascii="仿宋" w:hAnsi="仿宋" w:eastAsia="仿宋" w:cs="宋体"/>
                <w:b/>
                <w:bCs/>
                <w:kern w:val="0"/>
                <w:sz w:val="24"/>
              </w:rPr>
              <w:t>院校代码</w:t>
            </w:r>
          </w:p>
        </w:tc>
        <w:tc>
          <w:tcPr>
            <w:tcW w:w="854"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b/>
                <w:bCs/>
                <w:kern w:val="0"/>
                <w:sz w:val="24"/>
              </w:rPr>
            </w:pPr>
            <w:r>
              <w:rPr>
                <w:rFonts w:hint="eastAsia" w:ascii="仿宋" w:hAnsi="仿宋" w:eastAsia="仿宋" w:cs="宋体"/>
                <w:b/>
                <w:bCs/>
                <w:kern w:val="0"/>
                <w:sz w:val="24"/>
              </w:rPr>
              <w:t>院校名称</w:t>
            </w:r>
          </w:p>
        </w:tc>
        <w:tc>
          <w:tcPr>
            <w:tcW w:w="3972"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指标</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单位</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6</w:t>
            </w:r>
            <w:r>
              <w:rPr>
                <w:rFonts w:hint="eastAsia" w:ascii="仿宋" w:hAnsi="仿宋" w:eastAsia="仿宋" w:cs="宋体"/>
                <w:b/>
                <w:bCs/>
                <w:kern w:val="0"/>
                <w:sz w:val="24"/>
              </w:rPr>
              <w:t>年</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7</w:t>
            </w:r>
            <w:r>
              <w:rPr>
                <w:rFonts w:hint="eastAsia" w:ascii="仿宋" w:hAnsi="仿宋" w:eastAsia="仿宋" w:cs="宋体"/>
                <w:b/>
                <w:bCs/>
                <w:kern w:val="0"/>
                <w:sz w:val="24"/>
              </w:rPr>
              <w:t>年</w:t>
            </w:r>
          </w:p>
        </w:tc>
      </w:tr>
      <w:tr>
        <w:tblPrEx>
          <w:tblLayout w:type="fixed"/>
          <w:tblCellMar>
            <w:top w:w="0" w:type="dxa"/>
            <w:left w:w="108" w:type="dxa"/>
            <w:bottom w:w="0" w:type="dxa"/>
            <w:right w:w="108" w:type="dxa"/>
          </w:tblCellMar>
        </w:tblPrEx>
        <w:trPr>
          <w:trHeight w:val="455" w:hRule="atLeast"/>
        </w:trPr>
        <w:tc>
          <w:tcPr>
            <w:tcW w:w="819"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13043</w:t>
            </w:r>
          </w:p>
        </w:tc>
        <w:tc>
          <w:tcPr>
            <w:tcW w:w="854"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湖南化工职业技术学院</w:t>
            </w: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生师比</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15.86</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15.37</w:t>
            </w:r>
          </w:p>
        </w:tc>
      </w:tr>
      <w:tr>
        <w:tblPrEx>
          <w:tblLayout w:type="fixed"/>
          <w:tblCellMar>
            <w:top w:w="0" w:type="dxa"/>
            <w:left w:w="108" w:type="dxa"/>
            <w:bottom w:w="0" w:type="dxa"/>
            <w:right w:w="108" w:type="dxa"/>
          </w:tblCellMar>
        </w:tblPrEx>
        <w:trPr>
          <w:trHeight w:val="468"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双师素质专任教师比例</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70.36</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75.13</w:t>
            </w:r>
          </w:p>
        </w:tc>
      </w:tr>
      <w:tr>
        <w:tblPrEx>
          <w:tblLayout w:type="fixed"/>
          <w:tblCellMar>
            <w:top w:w="0" w:type="dxa"/>
            <w:left w:w="108" w:type="dxa"/>
            <w:bottom w:w="0" w:type="dxa"/>
            <w:right w:w="108" w:type="dxa"/>
          </w:tblCellMar>
        </w:tblPrEx>
        <w:trPr>
          <w:trHeight w:val="468"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ascii="仿宋" w:hAnsi="仿宋" w:eastAsia="仿宋" w:cs="宋体"/>
                <w:kern w:val="0"/>
                <w:sz w:val="24"/>
              </w:rPr>
              <w:t>3</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生均教学科研仪器设备值</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元/生</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8205.1</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8025.9</w:t>
            </w:r>
          </w:p>
        </w:tc>
      </w:tr>
      <w:tr>
        <w:tblPrEx>
          <w:tblLayout w:type="fixed"/>
          <w:tblCellMar>
            <w:top w:w="0" w:type="dxa"/>
            <w:left w:w="108" w:type="dxa"/>
            <w:bottom w:w="0" w:type="dxa"/>
            <w:right w:w="108" w:type="dxa"/>
          </w:tblCellMar>
        </w:tblPrEx>
        <w:trPr>
          <w:trHeight w:val="468"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4</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生均教学及辅助、行政办公用房面积</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vertAlign w:val="superscript"/>
              </w:rPr>
            </w:pPr>
            <w:r>
              <w:rPr>
                <w:rFonts w:hint="eastAsia" w:ascii="仿宋" w:hAnsi="仿宋" w:eastAsia="仿宋" w:cs="宋体"/>
                <w:kern w:val="0"/>
                <w:sz w:val="24"/>
              </w:rPr>
              <w:t>m</w:t>
            </w:r>
            <w:r>
              <w:rPr>
                <w:rFonts w:hint="eastAsia" w:ascii="仿宋" w:hAnsi="仿宋" w:eastAsia="仿宋" w:cs="宋体"/>
                <w:kern w:val="0"/>
                <w:sz w:val="24"/>
                <w:vertAlign w:val="superscript"/>
              </w:rPr>
              <w:t>2</w:t>
            </w:r>
            <w:r>
              <w:rPr>
                <w:rFonts w:hint="eastAsia" w:ascii="仿宋" w:hAnsi="仿宋" w:eastAsia="仿宋" w:cs="宋体"/>
                <w:kern w:val="0"/>
                <w:sz w:val="24"/>
              </w:rPr>
              <w:t>/生</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29.71</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20.83</w:t>
            </w:r>
          </w:p>
        </w:tc>
      </w:tr>
      <w:tr>
        <w:tblPrEx>
          <w:tblLayout w:type="fixed"/>
          <w:tblCellMar>
            <w:top w:w="0" w:type="dxa"/>
            <w:left w:w="108" w:type="dxa"/>
            <w:bottom w:w="0" w:type="dxa"/>
            <w:right w:w="108" w:type="dxa"/>
          </w:tblCellMar>
        </w:tblPrEx>
        <w:trPr>
          <w:trHeight w:val="468"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ascii="仿宋" w:hAnsi="仿宋" w:eastAsia="仿宋" w:cs="宋体"/>
                <w:kern w:val="0"/>
                <w:sz w:val="24"/>
              </w:rPr>
              <w:t>5</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生均校内实践教学工位数</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个/生</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0.69</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0.59</w:t>
            </w:r>
          </w:p>
        </w:tc>
      </w:tr>
      <w:tr>
        <w:tblPrEx>
          <w:tblLayout w:type="fixed"/>
          <w:tblCellMar>
            <w:top w:w="0" w:type="dxa"/>
            <w:left w:w="108" w:type="dxa"/>
            <w:bottom w:w="0" w:type="dxa"/>
            <w:right w:w="108" w:type="dxa"/>
          </w:tblCellMar>
        </w:tblPrEx>
        <w:trPr>
          <w:trHeight w:val="468"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ascii="仿宋" w:hAnsi="仿宋" w:eastAsia="仿宋" w:cs="宋体"/>
                <w:kern w:val="0"/>
                <w:sz w:val="24"/>
              </w:rPr>
              <w:t>6</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校园网主干最大带宽</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Mbps</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1000</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1000</w:t>
            </w:r>
          </w:p>
        </w:tc>
      </w:tr>
      <w:tr>
        <w:tblPrEx>
          <w:tblLayout w:type="fixed"/>
          <w:tblCellMar>
            <w:top w:w="0" w:type="dxa"/>
            <w:left w:w="108" w:type="dxa"/>
            <w:bottom w:w="0" w:type="dxa"/>
            <w:right w:w="108" w:type="dxa"/>
          </w:tblCellMar>
        </w:tblPrEx>
        <w:trPr>
          <w:trHeight w:val="499"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vMerge w:val="restar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ascii="仿宋" w:hAnsi="仿宋" w:eastAsia="仿宋" w:cs="宋体"/>
                <w:kern w:val="0"/>
                <w:sz w:val="24"/>
              </w:rPr>
              <w:t>7</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ascii="仿宋" w:hAnsi="仿宋" w:eastAsia="仿宋" w:cs="宋体"/>
                <w:kern w:val="0"/>
                <w:sz w:val="24"/>
              </w:rPr>
              <w:t>教学计划内课程总数</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门</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847</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664</w:t>
            </w:r>
          </w:p>
        </w:tc>
      </w:tr>
      <w:tr>
        <w:tblPrEx>
          <w:tblLayout w:type="fixed"/>
          <w:tblCellMar>
            <w:top w:w="0" w:type="dxa"/>
            <w:left w:w="108" w:type="dxa"/>
            <w:bottom w:w="0" w:type="dxa"/>
            <w:right w:w="108" w:type="dxa"/>
          </w:tblCellMar>
        </w:tblPrEx>
        <w:trPr>
          <w:trHeight w:val="549"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vMerge w:val="continue"/>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ind w:firstLine="240" w:firstLineChars="100"/>
              <w:jc w:val="left"/>
              <w:rPr>
                <w:rFonts w:ascii="仿宋" w:hAnsi="仿宋" w:eastAsia="仿宋" w:cs="宋体"/>
                <w:kern w:val="0"/>
                <w:sz w:val="24"/>
              </w:rPr>
            </w:pPr>
            <w:r>
              <w:rPr>
                <w:rFonts w:ascii="仿宋" w:hAnsi="仿宋" w:eastAsia="仿宋" w:cs="宋体"/>
                <w:kern w:val="0"/>
                <w:sz w:val="24"/>
              </w:rPr>
              <w:t>其中：线上开设课程数</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门</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233</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317</w:t>
            </w:r>
          </w:p>
        </w:tc>
      </w:tr>
      <w:tr>
        <w:tblPrEx>
          <w:tblLayout w:type="fixed"/>
          <w:tblCellMar>
            <w:top w:w="0" w:type="dxa"/>
            <w:left w:w="108" w:type="dxa"/>
            <w:bottom w:w="0" w:type="dxa"/>
            <w:right w:w="108" w:type="dxa"/>
          </w:tblCellMar>
        </w:tblPrEx>
        <w:trPr>
          <w:trHeight w:val="1626"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6951" w:type="dxa"/>
            <w:gridSpan w:val="5"/>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学院类别（单选）：综合、师范、民族院校（）</w:t>
            </w:r>
          </w:p>
          <w:p>
            <w:pPr>
              <w:widowControl/>
              <w:ind w:firstLine="2160" w:firstLineChars="900"/>
              <w:jc w:val="left"/>
              <w:rPr>
                <w:rFonts w:ascii="仿宋" w:hAnsi="仿宋" w:eastAsia="仿宋" w:cs="宋体"/>
                <w:kern w:val="0"/>
                <w:sz w:val="24"/>
              </w:rPr>
            </w:pPr>
            <w:r>
              <w:rPr>
                <w:rFonts w:hint="eastAsia" w:ascii="仿宋" w:hAnsi="仿宋" w:eastAsia="仿宋" w:cs="宋体"/>
                <w:kern w:val="0"/>
                <w:sz w:val="24"/>
              </w:rPr>
              <w:t>工科、农、林院校（</w:t>
            </w:r>
            <w:r>
              <w:rPr>
                <w:rFonts w:ascii="Arial" w:hAnsi="Arial" w:eastAsia="仿宋" w:cs="Arial"/>
                <w:kern w:val="0"/>
                <w:sz w:val="24"/>
              </w:rPr>
              <w:t>√</w:t>
            </w:r>
            <w:r>
              <w:rPr>
                <w:rFonts w:hint="eastAsia" w:ascii="仿宋" w:hAnsi="仿宋" w:eastAsia="仿宋" w:cs="宋体"/>
                <w:kern w:val="0"/>
                <w:sz w:val="24"/>
              </w:rPr>
              <w:t>）</w:t>
            </w:r>
          </w:p>
          <w:p>
            <w:pPr>
              <w:widowControl/>
              <w:ind w:firstLine="2160" w:firstLineChars="900"/>
              <w:jc w:val="left"/>
              <w:rPr>
                <w:rFonts w:ascii="仿宋" w:hAnsi="仿宋" w:eastAsia="仿宋" w:cs="宋体"/>
                <w:kern w:val="0"/>
                <w:sz w:val="24"/>
              </w:rPr>
            </w:pPr>
            <w:r>
              <w:rPr>
                <w:rFonts w:hint="eastAsia" w:ascii="仿宋" w:hAnsi="仿宋" w:eastAsia="仿宋" w:cs="宋体"/>
                <w:kern w:val="0"/>
                <w:sz w:val="24"/>
              </w:rPr>
              <w:t>医学院校（）</w:t>
            </w:r>
          </w:p>
          <w:p>
            <w:pPr>
              <w:widowControl/>
              <w:ind w:firstLine="2160" w:firstLineChars="900"/>
              <w:jc w:val="left"/>
              <w:rPr>
                <w:rFonts w:ascii="仿宋" w:hAnsi="仿宋" w:eastAsia="仿宋" w:cs="宋体"/>
                <w:kern w:val="0"/>
                <w:sz w:val="24"/>
              </w:rPr>
            </w:pPr>
            <w:r>
              <w:rPr>
                <w:rFonts w:hint="eastAsia" w:ascii="仿宋" w:hAnsi="仿宋" w:eastAsia="仿宋" w:cs="宋体"/>
                <w:kern w:val="0"/>
                <w:sz w:val="24"/>
              </w:rPr>
              <w:t>语文、财经、政法院校（ ）</w:t>
            </w:r>
          </w:p>
          <w:p>
            <w:pPr>
              <w:widowControl/>
              <w:ind w:firstLine="2160" w:firstLineChars="900"/>
              <w:jc w:val="left"/>
              <w:rPr>
                <w:rFonts w:ascii="仿宋" w:hAnsi="仿宋" w:eastAsia="仿宋" w:cs="宋体"/>
                <w:kern w:val="0"/>
                <w:sz w:val="24"/>
              </w:rPr>
            </w:pPr>
            <w:r>
              <w:rPr>
                <w:rFonts w:hint="eastAsia" w:ascii="仿宋" w:hAnsi="仿宋" w:eastAsia="仿宋" w:cs="宋体"/>
                <w:kern w:val="0"/>
                <w:sz w:val="24"/>
              </w:rPr>
              <w:t>体育院校（）</w:t>
            </w:r>
          </w:p>
          <w:p>
            <w:pPr>
              <w:widowControl/>
              <w:ind w:firstLine="2160" w:firstLineChars="900"/>
              <w:jc w:val="left"/>
              <w:rPr>
                <w:rFonts w:ascii="仿宋" w:hAnsi="仿宋" w:eastAsia="仿宋" w:cs="宋体"/>
                <w:kern w:val="0"/>
                <w:sz w:val="24"/>
              </w:rPr>
            </w:pPr>
            <w:r>
              <w:rPr>
                <w:rFonts w:hint="eastAsia" w:ascii="仿宋" w:hAnsi="仿宋" w:eastAsia="仿宋" w:cs="宋体"/>
                <w:kern w:val="0"/>
                <w:sz w:val="24"/>
              </w:rPr>
              <w:t>艺术院校（）</w:t>
            </w:r>
          </w:p>
        </w:tc>
      </w:tr>
    </w:tbl>
    <w:p>
      <w:pPr>
        <w:pStyle w:val="3"/>
      </w:pPr>
      <w:bookmarkStart w:id="84" w:name="_Toc12656"/>
      <w:bookmarkStart w:id="85" w:name="_Toc31559"/>
      <w:r>
        <w:rPr>
          <w:rFonts w:hint="eastAsia"/>
        </w:rPr>
        <w:t>3.2 学习贯彻党的十九大会议精神</w:t>
      </w:r>
      <w:bookmarkEnd w:id="84"/>
      <w:bookmarkEnd w:id="85"/>
    </w:p>
    <w:p>
      <w:pPr>
        <w:spacing w:line="360" w:lineRule="auto"/>
        <w:ind w:firstLine="480"/>
        <w:rPr>
          <w:rFonts w:ascii="宋体" w:hAnsi="宋体"/>
          <w:sz w:val="24"/>
        </w:rPr>
      </w:pPr>
      <w:r>
        <w:rPr>
          <w:rFonts w:hint="eastAsia" w:ascii="宋体" w:hAnsi="宋体"/>
          <w:sz w:val="24"/>
        </w:rPr>
        <w:t>党的十九大报告提出，中国特色社会主义进入新时代。这是我们党基于世情、国情、党情作出的科学判断。新时代开启新征程，新时代呼唤新作为。同时，党的十九大报告对职业教育和院校治理提出了新要求。</w:t>
      </w:r>
    </w:p>
    <w:p>
      <w:pPr>
        <w:spacing w:line="360" w:lineRule="auto"/>
        <w:ind w:firstLine="480"/>
        <w:rPr>
          <w:rFonts w:ascii="宋体" w:hAnsi="宋体"/>
          <w:sz w:val="24"/>
        </w:rPr>
      </w:pPr>
      <w:r>
        <w:rPr>
          <w:rFonts w:hint="eastAsia" w:ascii="宋体" w:hAnsi="宋体"/>
          <w:sz w:val="24"/>
        </w:rPr>
        <w:t>“惟希望也，故进取；惟进取也，故日新。”学院将以党的十九大精神为引领，不忘初心、牢记使命，推动学院各项改革工作，探索办学模式改革，打通职教上升通道；以校企合作为抓手，做好精准对接、精准育人工作，切实把党的十九大精神转化为新动力、新思路、新成果，指引学院事业向新时代新阶段推进，不断开创各项工作新局面。</w:t>
      </w:r>
    </w:p>
    <w:p>
      <w:pPr>
        <w:spacing w:line="360" w:lineRule="auto"/>
        <w:ind w:firstLine="480"/>
        <w:rPr>
          <w:rFonts w:ascii="宋体" w:hAnsi="宋体"/>
          <w:sz w:val="24"/>
        </w:rPr>
      </w:pPr>
      <w:r>
        <w:rPr>
          <w:rFonts w:hint="eastAsia" w:ascii="宋体" w:hAnsi="宋体"/>
          <w:sz w:val="24"/>
        </w:rPr>
        <w:t>为进一步推动兴起学习宣传贯彻党的十九大精神热潮，学院邀请了党的十九大代表、步步高集团总裁？来校宣讲。组建成立了学习贯彻党的十九大精神宣讲团，围绕党的十九大提出的新思想、新观点、新战略、新举措，结合学院服务高等职业教育发展、师生在学习贯彻十九大精神中普遍关注的热点问题和思想困惑向全校师生举办宣讲会39场次，全校、分单位组织专题学习50场次，收到了很好学习的效果。同时，学院党委书记作为株洲市十九大精神宣讲团成员，先后赴醴陵陶瓷烟花职业技术学校等单位进行宣讲。</w:t>
      </w:r>
    </w:p>
    <w:p>
      <w:pPr>
        <w:pStyle w:val="4"/>
        <w:spacing w:before="156" w:after="156"/>
        <w:ind w:firstLine="0" w:firstLineChars="0"/>
        <w:rPr>
          <w:color w:val="auto"/>
        </w:rPr>
      </w:pPr>
      <w:bookmarkStart w:id="86" w:name="_Toc26479"/>
      <w:bookmarkStart w:id="87" w:name="_Toc16136"/>
      <w:r>
        <w:rPr>
          <w:rFonts w:hint="eastAsia"/>
          <w:color w:val="auto"/>
        </w:rPr>
        <w:t>【典型案例11】学院成立学习贯彻党的十九大精神宣讲团</w:t>
      </w:r>
      <w:bookmarkEnd w:id="86"/>
      <w:bookmarkEnd w:id="87"/>
    </w:p>
    <w:p>
      <w:pPr>
        <w:adjustRightInd w:val="0"/>
        <w:snapToGrid w:val="0"/>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为进一步推动兴起学习宣传贯彻党的十九大精神热潮，11月15日，学院组建成立了学习贯彻党的十九大精神宣讲团，并召开动员会。会议对我校学习贯彻党的十九大精神宣讲工作进行安排部署，与会人员围绕备课环节、上课组织、宣传宣讲等方面进行了充分探讨，纷纷献言献策。学院学习贯彻党的十九大精神宣讲团成员主要由政治素质强、政策理论水平高的学院领导干部、理论专家、思想政治课部骨干教师担任。十一月下旬起，宣讲团开始用鲜活的语言、鲜活的事例、鲜活的数据向全校师生宣讲党的十九大精神，引导学院师生用党的十九大精神武装头脑。</w:t>
      </w:r>
    </w:p>
    <w:p>
      <w:pPr>
        <w:adjustRightInd w:val="0"/>
        <w:snapToGrid w:val="0"/>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4762500" cy="267652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39"/>
                    <a:stretch>
                      <a:fillRect/>
                    </a:stretch>
                  </pic:blipFill>
                  <pic:spPr>
                    <a:xfrm>
                      <a:off x="0" y="0"/>
                      <a:ext cx="4762500" cy="2676525"/>
                    </a:xfrm>
                    <a:prstGeom prst="rect">
                      <a:avLst/>
                    </a:prstGeom>
                    <a:noFill/>
                    <a:ln w="9525">
                      <a:noFill/>
                    </a:ln>
                  </pic:spPr>
                </pic:pic>
              </a:graphicData>
            </a:graphic>
          </wp:inline>
        </w:drawing>
      </w:r>
    </w:p>
    <w:p>
      <w:pPr>
        <w:spacing w:line="360" w:lineRule="auto"/>
        <w:jc w:val="center"/>
        <w:rPr>
          <w:rFonts w:ascii="宋体" w:hAnsi="宋体"/>
          <w:b/>
          <w:szCs w:val="21"/>
        </w:rPr>
      </w:pPr>
      <w:r>
        <w:rPr>
          <w:rFonts w:hint="eastAsia" w:ascii="宋体" w:hAnsi="宋体"/>
          <w:b/>
          <w:szCs w:val="21"/>
        </w:rPr>
        <w:t>图3-1 学院组建成立学习贯彻党的十九大精神宣讲团</w:t>
      </w:r>
    </w:p>
    <w:p>
      <w:pPr>
        <w:pStyle w:val="3"/>
      </w:pPr>
      <w:bookmarkStart w:id="88" w:name="_Toc14575"/>
      <w:bookmarkStart w:id="89" w:name="_Toc6106"/>
      <w:r>
        <w:rPr>
          <w:rFonts w:hint="eastAsia"/>
        </w:rPr>
        <w:t>3.3 思想政治教育</w:t>
      </w:r>
      <w:bookmarkEnd w:id="88"/>
      <w:bookmarkEnd w:id="89"/>
    </w:p>
    <w:p>
      <w:pPr>
        <w:spacing w:line="360" w:lineRule="auto"/>
        <w:ind w:firstLine="480" w:firstLineChars="200"/>
        <w:rPr>
          <w:rFonts w:ascii="宋体" w:hAnsi="宋体"/>
          <w:sz w:val="24"/>
        </w:rPr>
      </w:pPr>
      <w:r>
        <w:rPr>
          <w:rFonts w:hint="eastAsia" w:ascii="宋体" w:hAnsi="宋体"/>
          <w:sz w:val="24"/>
        </w:rPr>
        <w:t>学院坚持以社会主义核心价值体系为引领，以理想信念和道德品质教育为核心，以石化企业文化和中国传统文化教育为特色，以思想政治教育课题研究和大学生思想道德素质提升工程项目建设为引领，以“三全”德育工作体系建设为抓手，以校园文化活动建设为载体，构建了由职业基础、职业提升、职业发展、拓展训练四大模块组成，以安全教育（心理健康教育、行为规范教育、安全稳定教育）三年不断线和就业教育（职业发展教育、就业指导教育、创新创业教育）三年不断线为核心内容的新的高职学生素质教育教学体系，使素质教育教学体系内容更全面、系统。</w:t>
      </w:r>
    </w:p>
    <w:p>
      <w:pPr>
        <w:spacing w:line="360" w:lineRule="auto"/>
        <w:ind w:firstLine="480" w:firstLineChars="200"/>
        <w:rPr>
          <w:rFonts w:ascii="宋体" w:hAnsi="宋体"/>
          <w:sz w:val="24"/>
        </w:rPr>
      </w:pPr>
      <w:r>
        <w:rPr>
          <w:rFonts w:hint="eastAsia" w:ascii="宋体" w:hAnsi="宋体"/>
          <w:sz w:val="24"/>
        </w:rPr>
        <w:t>为贯彻落实中宣部、教育部《关于印发普通高校思想政治理论课建设体系创新计划的通知》（教社科[2015]2号）的文件精神，进一步深化教材、教师、教学等领域的改革创新，学院成立了思政课程专题化教学改革试点小组，在公共课选课制基础上试点，进行《思想道德修养与法律基础》课专题化教学改革探索。从师资配备、教学内容、授课班级、教学组织、教学手段等方面进行改革，实现教学内容专题化、任课教师专业化、教学组织同步化、实践活动统一化、教学手段信息化。寓教于乐、寓教于情、寓教于心，给了学生更优质的平台去展现能力，进一步提升了思想政治课获得感。</w:t>
      </w:r>
    </w:p>
    <w:p>
      <w:pPr>
        <w:pStyle w:val="4"/>
        <w:spacing w:before="156" w:after="156"/>
        <w:ind w:firstLine="0" w:firstLineChars="0"/>
        <w:rPr>
          <w:color w:val="auto"/>
        </w:rPr>
      </w:pPr>
      <w:bookmarkStart w:id="90" w:name="_Toc1640"/>
      <w:bookmarkStart w:id="91" w:name="_Toc26965"/>
      <w:r>
        <w:rPr>
          <w:rFonts w:hint="eastAsia"/>
          <w:color w:val="auto"/>
        </w:rPr>
        <w:t>【典型案例12】歌声嘹亮 唱响党的新篇章</w:t>
      </w:r>
      <w:bookmarkEnd w:id="90"/>
      <w:bookmarkEnd w:id="91"/>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11月28日下午，“践行十九大精神，不忘初心跟党走”红歌合唱比赛暨2017年下半年发展对象培训班结业典礼在图书馆一楼二号报告厅举行。来自五个二级学院分党校的2017年下半年发展对象培训班的全体学员组成了五支队伍参加此次红歌合唱比赛。比赛中，《唱支山歌给党听》、《歌唱祖国》、《弹起我心爱的土琵琶》、《黄河大合唱》等一曲曲耳熟能详、饱含热情、振奋人心的经典红歌，唱响了共产党好、社会主义好、伟大祖国好的时代主旋律，唱出了化院学子爱党报国、奉献青春的豪迈气概。他们用激情澎湃的歌声，传承红色精神，绽放青春光芒，充分展示了化院学子积极向上的精神面貌。整场比赛洋溢着浓厚的爱党、爱国、爱社会主义情怀,为学院“建卓越、创优质、争一流”凝聚起强大正能量。</w:t>
      </w:r>
    </w:p>
    <w:p>
      <w:pPr>
        <w:adjustRightInd w:val="0"/>
        <w:snapToGrid w:val="0"/>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3783965" cy="2534920"/>
            <wp:effectExtent l="0" t="0" r="6985" b="17780"/>
            <wp:docPr id="2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56"/>
                    <pic:cNvPicPr>
                      <a:picLocks noChangeAspect="1"/>
                    </pic:cNvPicPr>
                  </pic:nvPicPr>
                  <pic:blipFill>
                    <a:blip r:embed="rId40"/>
                    <a:stretch>
                      <a:fillRect/>
                    </a:stretch>
                  </pic:blipFill>
                  <pic:spPr>
                    <a:xfrm>
                      <a:off x="0" y="0"/>
                      <a:ext cx="3783965" cy="2534920"/>
                    </a:xfrm>
                    <a:prstGeom prst="rect">
                      <a:avLst/>
                    </a:prstGeom>
                    <a:noFill/>
                    <a:ln w="9525">
                      <a:noFill/>
                    </a:ln>
                  </pic:spPr>
                </pic:pic>
              </a:graphicData>
            </a:graphic>
          </wp:inline>
        </w:drawing>
      </w:r>
    </w:p>
    <w:p>
      <w:pPr>
        <w:spacing w:line="360" w:lineRule="auto"/>
        <w:jc w:val="center"/>
        <w:rPr>
          <w:rFonts w:ascii="宋体" w:hAnsi="宋体"/>
          <w:b/>
          <w:szCs w:val="21"/>
        </w:rPr>
      </w:pPr>
      <w:r>
        <w:rPr>
          <w:rFonts w:hint="eastAsia" w:ascii="宋体" w:hAnsi="宋体"/>
          <w:b/>
          <w:szCs w:val="21"/>
        </w:rPr>
        <w:t>图3-2 学院“践行十九大精神，不忘初心跟党走”红歌合唱比赛</w:t>
      </w:r>
    </w:p>
    <w:p>
      <w:pPr>
        <w:pStyle w:val="4"/>
        <w:spacing w:before="156" w:after="156"/>
        <w:ind w:firstLine="0" w:firstLineChars="0"/>
        <w:rPr>
          <w:color w:val="auto"/>
        </w:rPr>
      </w:pPr>
      <w:bookmarkStart w:id="92" w:name="_Toc18556"/>
      <w:bookmarkStart w:id="93" w:name="_Toc17084"/>
      <w:r>
        <w:rPr>
          <w:rFonts w:hint="eastAsia"/>
          <w:color w:val="auto"/>
        </w:rPr>
        <w:t>【典型案例13】移动教学+网络直播”扩展道德正能量，激活大思政课堂</w:t>
      </w:r>
      <w:bookmarkEnd w:id="92"/>
      <w:bookmarkEnd w:id="93"/>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思政课的对象是人，重点是思，方向是政，载体是课。”11月21日，学院聚焦社会道德热点，弘扬中华民族传统美德，举办了首届“明礼善行，德润人生”情景剧大赛，将思政课专题化教学模式与高职院校思政课程的教学特点相契合，进一步深化了《思想道德修养与法律基础》课专题化教学改革成果。活动全程信息化手段并通过校园网同步直播，活动现场采用平板电脑和同屏器远程操控舞台背景切换与音乐播放，随时掌握演出现场和直播教室的动态。全校1600余名参与思政课专题化教学改革试点的新生全部参与，利用移动网络教学平台实时评论刷新，并发起直播投票，由全校观众选出最喜爱的节目。很好的将有限的现场舞台以网络直播的形式展示到整个校园，无论教室、办公楼、还是学生宿舍，校园网覆盖的每个地方，都可以观看直播，让道德的正能量无限扩展。</w:t>
      </w:r>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思政14班徐雅鹏同学说：“2个小时的思政课堂直播时间，没有老师在教室。十个节目演的真好，好几次我都差点流泪了。我觉得他们能上春晚！网络直播这种方式也特别新颖，希望以后能再看到这次活动的回放录像。”</w:t>
      </w:r>
    </w:p>
    <w:p>
      <w:pPr>
        <w:spacing w:line="360" w:lineRule="auto"/>
        <w:jc w:val="center"/>
        <w:rPr>
          <w:rFonts w:ascii="宋体" w:hAnsi="宋体"/>
          <w:sz w:val="24"/>
        </w:rPr>
      </w:pPr>
      <w:r>
        <w:drawing>
          <wp:inline distT="0" distB="0" distL="0" distR="0">
            <wp:extent cx="4231640" cy="2828925"/>
            <wp:effectExtent l="0" t="0" r="165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231640" cy="2828925"/>
                    </a:xfrm>
                    <a:prstGeom prst="rect">
                      <a:avLst/>
                    </a:prstGeom>
                    <a:noFill/>
                    <a:ln>
                      <a:noFill/>
                    </a:ln>
                  </pic:spPr>
                </pic:pic>
              </a:graphicData>
            </a:graphic>
          </wp:inline>
        </w:drawing>
      </w:r>
    </w:p>
    <w:p>
      <w:pPr>
        <w:spacing w:line="360" w:lineRule="auto"/>
        <w:jc w:val="center"/>
        <w:rPr>
          <w:rFonts w:ascii="宋体" w:hAnsi="宋体"/>
          <w:b/>
          <w:szCs w:val="21"/>
        </w:rPr>
      </w:pPr>
      <w:r>
        <w:rPr>
          <w:rFonts w:hint="eastAsia" w:ascii="宋体" w:hAnsi="宋体"/>
          <w:b/>
          <w:szCs w:val="21"/>
        </w:rPr>
        <w:t>图3-3 思政36班情景剧《我不是小偷》剧照</w:t>
      </w:r>
    </w:p>
    <w:p>
      <w:pPr>
        <w:spacing w:line="360" w:lineRule="auto"/>
        <w:jc w:val="center"/>
        <w:rPr>
          <w:rFonts w:ascii="宋体" w:hAnsi="宋体"/>
          <w:sz w:val="24"/>
        </w:rPr>
      </w:pPr>
      <w:r>
        <w:drawing>
          <wp:inline distT="0" distB="0" distL="0" distR="0">
            <wp:extent cx="4256405" cy="2837815"/>
            <wp:effectExtent l="0" t="0" r="1079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256405" cy="2837815"/>
                    </a:xfrm>
                    <a:prstGeom prst="rect">
                      <a:avLst/>
                    </a:prstGeom>
                    <a:noFill/>
                    <a:ln>
                      <a:noFill/>
                    </a:ln>
                  </pic:spPr>
                </pic:pic>
              </a:graphicData>
            </a:graphic>
          </wp:inline>
        </w:drawing>
      </w:r>
    </w:p>
    <w:p>
      <w:pPr>
        <w:spacing w:line="360" w:lineRule="auto"/>
        <w:jc w:val="center"/>
        <w:rPr>
          <w:rFonts w:ascii="宋体" w:hAnsi="宋体"/>
          <w:b/>
          <w:szCs w:val="21"/>
        </w:rPr>
      </w:pPr>
      <w:r>
        <w:rPr>
          <w:rFonts w:hint="eastAsia" w:ascii="宋体" w:hAnsi="宋体"/>
          <w:b/>
          <w:szCs w:val="21"/>
        </w:rPr>
        <w:t>图3-4 学生在教室观看情景剧网络直播</w:t>
      </w:r>
    </w:p>
    <w:p>
      <w:pPr>
        <w:pStyle w:val="3"/>
      </w:pPr>
      <w:bookmarkStart w:id="94" w:name="_Toc8052"/>
      <w:bookmarkStart w:id="95" w:name="_Toc14836"/>
      <w:r>
        <w:rPr>
          <w:rFonts w:hint="eastAsia"/>
        </w:rPr>
        <w:t>3.4 专业（群）建设</w:t>
      </w:r>
      <w:bookmarkEnd w:id="94"/>
      <w:bookmarkEnd w:id="95"/>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学院深入贯彻湖南省教育厅《关于印发&lt;湖南深化教育教学改革 全面提高人才培养质量的实施意见&gt;的通知》、《湖南省贯彻〈中国制造2025〉建设制造强省五年行动计划(2016-2020年)》、《湖南高等职业教育创新发展行动计划(2016-2018年)实施方案》、《湖南省关于加快石油化工重点产业发展的若干政策措施》和《全国石化和化学工业发展规划(2016-2020年)》等文件精神，加快特色专业体系建设，促使学院专业设置适应区域经济发展需求，提高专业整体水平，全面提升技术技能人才培养质量，为湖南省“五化两型”战略和化工产业“转方式、调结构、促升级”提供高素质技术技能人才支撑。</w:t>
      </w:r>
    </w:p>
    <w:p>
      <w:pPr>
        <w:pStyle w:val="4"/>
        <w:spacing w:before="156" w:after="156"/>
        <w:ind w:firstLine="562"/>
        <w:rPr>
          <w:color w:val="000000" w:themeColor="text1"/>
        </w:rPr>
      </w:pPr>
      <w:bookmarkStart w:id="96" w:name="_Toc23478"/>
      <w:bookmarkStart w:id="97" w:name="_Toc5220"/>
      <w:r>
        <w:rPr>
          <w:rFonts w:hint="eastAsia"/>
          <w:color w:val="000000" w:themeColor="text1"/>
        </w:rPr>
        <w:t>（1）对接产业构建专业集群</w:t>
      </w:r>
      <w:bookmarkEnd w:id="96"/>
      <w:bookmarkEnd w:id="97"/>
    </w:p>
    <w:p>
      <w:pPr>
        <w:spacing w:line="360" w:lineRule="auto"/>
        <w:ind w:firstLine="480" w:firstLineChars="200"/>
        <w:rPr>
          <w:rFonts w:ascii="宋体" w:hAnsi="宋体"/>
          <w:sz w:val="24"/>
        </w:rPr>
      </w:pPr>
      <w:r>
        <w:rPr>
          <w:rFonts w:hint="eastAsia" w:ascii="宋体" w:hAnsi="宋体"/>
          <w:sz w:val="24"/>
        </w:rPr>
        <w:t>对接“中国制造2025”绿色制造工程、环洞庭生态经济圈建设和“一带一部”等国家、省区发展战略，围绕化工新材料、生物医药等重点领域，面向化学工业及其中下游产业链设置和调整专业，与我省化工产业“北主南辅、中西协同”布局高度契合，突出重点、以点带面，全面推进我院特色专业体系建设。构建了以化工生产技术和化学与生物制药技术专业群为双轮驱动，以化工自动化技术、化工装备制造技术和化工生产运营与管理专业群为环绕服务的专业集群。</w:t>
      </w:r>
    </w:p>
    <w:p>
      <w:pPr>
        <w:widowControl/>
        <w:jc w:val="center"/>
        <w:rPr>
          <w:rFonts w:ascii="宋体" w:cs="宋体"/>
          <w:color w:val="000000"/>
          <w:kern w:val="0"/>
          <w:sz w:val="24"/>
        </w:rPr>
      </w:pPr>
      <w:r>
        <w:rPr>
          <w:rFonts w:hint="eastAsia" w:ascii="宋体" w:cs="宋体"/>
          <w:color w:val="000000"/>
          <w:kern w:val="0"/>
          <w:sz w:val="24"/>
        </w:rPr>
        <w:drawing>
          <wp:inline distT="0" distB="0" distL="114300" distR="114300">
            <wp:extent cx="3580765" cy="3037205"/>
            <wp:effectExtent l="0" t="0" r="63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3"/>
                    <a:stretch>
                      <a:fillRect/>
                    </a:stretch>
                  </pic:blipFill>
                  <pic:spPr>
                    <a:xfrm>
                      <a:off x="0" y="0"/>
                      <a:ext cx="3580765" cy="3037205"/>
                    </a:xfrm>
                    <a:prstGeom prst="rect">
                      <a:avLst/>
                    </a:prstGeom>
                    <a:noFill/>
                    <a:ln w="9525">
                      <a:noFill/>
                    </a:ln>
                  </pic:spPr>
                </pic:pic>
              </a:graphicData>
            </a:graphic>
          </wp:inline>
        </w:drawing>
      </w:r>
    </w:p>
    <w:p>
      <w:pPr>
        <w:spacing w:line="360" w:lineRule="auto"/>
        <w:jc w:val="center"/>
        <w:rPr>
          <w:rFonts w:ascii="宋体" w:hAnsi="宋体"/>
          <w:b/>
          <w:szCs w:val="21"/>
        </w:rPr>
      </w:pPr>
      <w:r>
        <w:rPr>
          <w:rFonts w:hint="eastAsia" w:ascii="宋体" w:hAnsi="宋体"/>
          <w:b/>
          <w:szCs w:val="21"/>
        </w:rPr>
        <w:t>图3-5  学院专业群架构图</w:t>
      </w:r>
    </w:p>
    <w:p>
      <w:pPr>
        <w:pStyle w:val="4"/>
        <w:spacing w:before="156" w:after="156"/>
        <w:ind w:firstLine="562"/>
        <w:rPr>
          <w:color w:val="000000" w:themeColor="text1"/>
        </w:rPr>
      </w:pPr>
      <w:bookmarkStart w:id="98" w:name="_Toc5049"/>
      <w:bookmarkStart w:id="99" w:name="_Toc27420"/>
      <w:r>
        <w:rPr>
          <w:rFonts w:hint="eastAsia"/>
          <w:color w:val="000000" w:themeColor="text1"/>
        </w:rPr>
        <w:t>（2）专业品牌优势明显</w:t>
      </w:r>
      <w:bookmarkEnd w:id="98"/>
      <w:bookmarkEnd w:id="99"/>
    </w:p>
    <w:p>
      <w:pPr>
        <w:spacing w:line="360" w:lineRule="auto"/>
        <w:ind w:firstLine="480" w:firstLineChars="200"/>
        <w:rPr>
          <w:rFonts w:ascii="宋体" w:hAnsi="宋体"/>
          <w:color w:val="000000"/>
          <w:sz w:val="24"/>
        </w:rPr>
      </w:pPr>
      <w:r>
        <w:rPr>
          <w:rFonts w:hint="eastAsia" w:ascii="宋体" w:hAnsi="宋体"/>
          <w:color w:val="000000"/>
          <w:sz w:val="24"/>
        </w:rPr>
        <w:t>化工职业教育是我国现代职业教育的重要组成部分。2017年，全国开设</w:t>
      </w:r>
      <w:r>
        <w:rPr>
          <w:rFonts w:hint="eastAsia" w:ascii="宋体" w:hAnsi="宋体"/>
          <w:color w:val="000000"/>
          <w:spacing w:val="-10"/>
          <w:sz w:val="24"/>
        </w:rPr>
        <w:t>石油和化工类相关专</w:t>
      </w:r>
      <w:r>
        <w:rPr>
          <w:rFonts w:hint="eastAsia" w:ascii="宋体" w:hAnsi="宋体"/>
          <w:color w:val="000000"/>
          <w:sz w:val="24"/>
        </w:rPr>
        <w:t>业的高等院校近500所，含部分本科院校举办的专科层次教育，毕业生规模14000-16000人。其中，我省开设化工类专业的高职学院有7所，以化工类专业为主体的高职学院有2所，开设应用化工技术、精细化工技术等化工类主体专业8个，专业点16个。</w:t>
      </w:r>
    </w:p>
    <w:p>
      <w:pPr>
        <w:spacing w:line="360" w:lineRule="auto"/>
        <w:ind w:firstLine="480" w:firstLineChars="200"/>
        <w:rPr>
          <w:rFonts w:ascii="宋体" w:hAnsi="宋体"/>
          <w:color w:val="000000"/>
          <w:sz w:val="24"/>
        </w:rPr>
      </w:pPr>
      <w:r>
        <w:rPr>
          <w:rFonts w:hint="eastAsia" w:ascii="宋体" w:hAnsi="宋体"/>
          <w:color w:val="000000"/>
          <w:sz w:val="24"/>
        </w:rPr>
        <w:t>学院始终根植化工产业办学，以人才培养为核心，以深化改革为动力，以创卓越、争一流为目标，加快推动内涵发展、特色发展，取得了显著办学成效。学院拥有省级示范性特色专业(群)2个、特色(精品)专业4个、中央财政支持的重点建设专业</w:t>
      </w:r>
      <w:r>
        <w:rPr>
          <w:rFonts w:ascii="宋体" w:hAnsi="宋体"/>
          <w:color w:val="000000"/>
          <w:sz w:val="24"/>
        </w:rPr>
        <w:t>2</w:t>
      </w:r>
      <w:r>
        <w:rPr>
          <w:rFonts w:hint="eastAsia" w:ascii="宋体" w:hAnsi="宋体"/>
          <w:color w:val="000000"/>
          <w:sz w:val="24"/>
        </w:rPr>
        <w:t>个、专业技能抽查标准</w:t>
      </w:r>
      <w:r>
        <w:rPr>
          <w:rFonts w:ascii="宋体" w:hAnsi="宋体"/>
          <w:color w:val="000000"/>
          <w:sz w:val="24"/>
        </w:rPr>
        <w:t>2</w:t>
      </w:r>
      <w:r>
        <w:rPr>
          <w:rFonts w:hint="eastAsia" w:ascii="宋体" w:hAnsi="宋体"/>
          <w:color w:val="000000"/>
          <w:sz w:val="24"/>
        </w:rPr>
        <w:t>个、中央财政支持的重点实习实训基地</w:t>
      </w:r>
      <w:r>
        <w:rPr>
          <w:rFonts w:ascii="宋体" w:hAnsi="宋体"/>
          <w:color w:val="000000"/>
          <w:sz w:val="24"/>
        </w:rPr>
        <w:t>2</w:t>
      </w:r>
      <w:r>
        <w:rPr>
          <w:rFonts w:hint="eastAsia" w:ascii="宋体" w:hAnsi="宋体"/>
          <w:color w:val="000000"/>
          <w:sz w:val="24"/>
        </w:rPr>
        <w:t>个、石化行业全国示范性实习实训基地</w:t>
      </w:r>
      <w:r>
        <w:rPr>
          <w:rFonts w:ascii="宋体" w:hAnsi="宋体"/>
          <w:color w:val="000000"/>
          <w:sz w:val="24"/>
        </w:rPr>
        <w:t>2</w:t>
      </w:r>
      <w:r>
        <w:rPr>
          <w:rFonts w:hint="eastAsia" w:ascii="宋体" w:hAnsi="宋体"/>
          <w:color w:val="000000"/>
          <w:sz w:val="24"/>
        </w:rPr>
        <w:t>个、省级生产性实训基地</w:t>
      </w:r>
      <w:r>
        <w:rPr>
          <w:rFonts w:ascii="宋体" w:hAnsi="宋体"/>
          <w:color w:val="000000"/>
          <w:sz w:val="24"/>
        </w:rPr>
        <w:t>2</w:t>
      </w:r>
      <w:r>
        <w:rPr>
          <w:rFonts w:hint="eastAsia" w:ascii="宋体" w:hAnsi="宋体"/>
          <w:color w:val="000000"/>
          <w:sz w:val="24"/>
        </w:rPr>
        <w:t>个。据教育部化工行指委数据分析显示，学院在全国化工类职业院校中综合实力排名第二。其中，精细化工技术、应用化工技术、工业分析技术与化学制药技术等核心专业的在校生规模与整体实力在全国416所开设石油和化工类相关专业的高职高专院校中分别排名第一、第二和第三。</w:t>
      </w:r>
    </w:p>
    <w:p>
      <w:pPr>
        <w:pStyle w:val="3"/>
      </w:pPr>
      <w:bookmarkStart w:id="100" w:name="_Toc6488"/>
      <w:bookmarkStart w:id="101" w:name="_Toc15613"/>
      <w:r>
        <w:rPr>
          <w:rFonts w:hint="eastAsia"/>
        </w:rPr>
        <w:t>3.5 教师素质提升</w:t>
      </w:r>
      <w:bookmarkEnd w:id="100"/>
      <w:bookmarkEnd w:id="101"/>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为适应学院教育教学、专业发展、应用技术研发与服务需要，学院依据省级卓越校建设要求和《湖南化工职业技术学院教师队伍建设三年规划（2017—2019年）》，以“双师型”教师队伍建设为核心，加强教学名师、专业带头人、骨干教师、青年教师培养和兼职教师队伍建设，推进专业教学团队建设，通过培养、引进和聘请等多种方式，提升教师整体素质。学院教师队伍学历结构、“双师”结构和专业结构进一步优化，高职教育教学理念、专业知识体系和专业实践能力进一步加强，教师的教学能力普遍提高。应用技术研发与服务团队协同发展，教师应用技术研发与服务能力明显增强。</w:t>
      </w:r>
    </w:p>
    <w:p>
      <w:pPr>
        <w:pStyle w:val="4"/>
        <w:spacing w:before="156" w:after="156"/>
        <w:ind w:firstLine="562"/>
        <w:rPr>
          <w:color w:val="000000" w:themeColor="text1"/>
        </w:rPr>
      </w:pPr>
      <w:bookmarkStart w:id="102" w:name="_Toc2574"/>
      <w:bookmarkStart w:id="103" w:name="_Toc18010"/>
      <w:r>
        <w:rPr>
          <w:rFonts w:hint="eastAsia"/>
          <w:color w:val="000000" w:themeColor="text1"/>
        </w:rPr>
        <w:t>（1）教师队伍结构优良</w:t>
      </w:r>
      <w:bookmarkEnd w:id="102"/>
      <w:bookmarkEnd w:id="103"/>
    </w:p>
    <w:p>
      <w:pPr>
        <w:adjustRightInd w:val="0"/>
        <w:snapToGrid w:val="0"/>
        <w:spacing w:line="360" w:lineRule="auto"/>
        <w:ind w:firstLine="480" w:firstLineChars="200"/>
        <w:rPr>
          <w:rFonts w:ascii="宋体" w:hAnsi="宋体"/>
          <w:sz w:val="24"/>
        </w:rPr>
      </w:pPr>
      <w:r>
        <w:rPr>
          <w:rFonts w:hint="eastAsia" w:ascii="宋体" w:hAnsi="宋体"/>
          <w:sz w:val="24"/>
        </w:rPr>
        <w:t>学院现有专任教师382人，其中，具有高级职称比例达41.88%（见图3-6），具有博士学位的18人，占比4.71%（见图3-7），双师素质教师287人，占比75.13%（见图3-8），以上比例均明显高于国家示范高职院校、省示范高职院校及全国和全省高职院校中位水平。</w:t>
      </w:r>
    </w:p>
    <w:p>
      <w:pPr>
        <w:spacing w:line="360" w:lineRule="auto"/>
        <w:jc w:val="center"/>
      </w:pPr>
      <w:r>
        <w:drawing>
          <wp:inline distT="0" distB="0" distL="114300" distR="114300">
            <wp:extent cx="4992370" cy="2265045"/>
            <wp:effectExtent l="4445" t="4445" r="13335" b="1651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jc w:val="center"/>
        <w:rPr>
          <w:rFonts w:ascii="宋体" w:hAnsi="宋体"/>
          <w:b/>
          <w:szCs w:val="21"/>
        </w:rPr>
      </w:pPr>
      <w:r>
        <w:rPr>
          <w:rFonts w:hint="eastAsia" w:ascii="宋体" w:hAnsi="宋体"/>
          <w:b/>
          <w:szCs w:val="21"/>
        </w:rPr>
        <w:t>图3-6 专任教师高级职务教师占比情况示意图</w:t>
      </w:r>
    </w:p>
    <w:p>
      <w:pPr>
        <w:jc w:val="right"/>
        <w:rPr>
          <w:rFonts w:ascii="宋体" w:hAnsi="宋体"/>
          <w:b/>
          <w:szCs w:val="21"/>
        </w:rPr>
      </w:pPr>
      <w:r>
        <w:rPr>
          <w:rFonts w:hint="eastAsia" w:ascii="宋体" w:hAnsi="宋体"/>
          <w:b/>
          <w:szCs w:val="21"/>
        </w:rPr>
        <w:t>数据来源：全国高职院校状态数据采集与管理系统</w:t>
      </w:r>
    </w:p>
    <w:p>
      <w:pPr>
        <w:spacing w:line="360" w:lineRule="auto"/>
        <w:jc w:val="center"/>
      </w:pPr>
      <w:r>
        <w:drawing>
          <wp:inline distT="0" distB="0" distL="114300" distR="114300">
            <wp:extent cx="4900295" cy="2225675"/>
            <wp:effectExtent l="4445" t="4445" r="10160" b="17780"/>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jc w:val="center"/>
        <w:rPr>
          <w:rFonts w:ascii="宋体" w:hAnsi="宋体"/>
          <w:b/>
          <w:szCs w:val="21"/>
        </w:rPr>
      </w:pPr>
      <w:r>
        <w:rPr>
          <w:rFonts w:hint="eastAsia" w:ascii="宋体" w:hAnsi="宋体"/>
          <w:b/>
          <w:szCs w:val="21"/>
        </w:rPr>
        <w:t>图3-7专任教师双师素质比例示意图</w:t>
      </w:r>
    </w:p>
    <w:p>
      <w:pPr>
        <w:jc w:val="right"/>
        <w:rPr>
          <w:rFonts w:ascii="宋体" w:hAnsi="宋体"/>
          <w:b/>
          <w:szCs w:val="21"/>
        </w:rPr>
      </w:pPr>
      <w:r>
        <w:rPr>
          <w:rFonts w:hint="eastAsia" w:ascii="宋体" w:hAnsi="宋体"/>
          <w:b/>
          <w:szCs w:val="21"/>
        </w:rPr>
        <w:t>数据来源：全国高职院校状态数据采集与管理系统</w:t>
      </w:r>
    </w:p>
    <w:p>
      <w:pPr>
        <w:spacing w:line="360" w:lineRule="auto"/>
        <w:jc w:val="center"/>
      </w:pPr>
      <w:r>
        <w:drawing>
          <wp:inline distT="0" distB="0" distL="114300" distR="114300">
            <wp:extent cx="4994910" cy="2109470"/>
            <wp:effectExtent l="5080" t="4445" r="10160" b="19685"/>
            <wp:docPr id="53"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jc w:val="center"/>
        <w:rPr>
          <w:rFonts w:ascii="宋体" w:hAnsi="宋体"/>
          <w:b/>
          <w:szCs w:val="21"/>
        </w:rPr>
      </w:pPr>
      <w:r>
        <w:rPr>
          <w:rFonts w:hint="eastAsia" w:ascii="宋体" w:hAnsi="宋体"/>
          <w:b/>
          <w:szCs w:val="21"/>
        </w:rPr>
        <w:t>图3-8具有博士学位专任教师比例示意图</w:t>
      </w:r>
    </w:p>
    <w:p>
      <w:pPr>
        <w:jc w:val="right"/>
        <w:rPr>
          <w:rFonts w:ascii="宋体" w:hAnsi="宋体"/>
          <w:b/>
          <w:szCs w:val="21"/>
        </w:rPr>
      </w:pPr>
      <w:r>
        <w:rPr>
          <w:rFonts w:hint="eastAsia" w:ascii="宋体" w:hAnsi="宋体"/>
          <w:b/>
          <w:szCs w:val="21"/>
        </w:rPr>
        <w:t>数据来源：全国高职院校状态数据采集与管理系统</w:t>
      </w:r>
    </w:p>
    <w:p>
      <w:pPr>
        <w:pStyle w:val="4"/>
        <w:spacing w:before="156" w:after="156"/>
        <w:ind w:firstLine="562"/>
        <w:rPr>
          <w:color w:val="000000" w:themeColor="text1"/>
        </w:rPr>
      </w:pPr>
      <w:bookmarkStart w:id="104" w:name="_Toc21402"/>
      <w:bookmarkStart w:id="105" w:name="_Toc27125"/>
      <w:r>
        <w:rPr>
          <w:rFonts w:hint="eastAsia"/>
          <w:color w:val="000000" w:themeColor="text1"/>
        </w:rPr>
        <w:t>（2）教师队伍实力雄厚</w:t>
      </w:r>
      <w:bookmarkEnd w:id="104"/>
      <w:bookmarkEnd w:id="105"/>
    </w:p>
    <w:p>
      <w:pPr>
        <w:adjustRightInd w:val="0"/>
        <w:snapToGrid w:val="0"/>
        <w:spacing w:line="360" w:lineRule="auto"/>
        <w:ind w:firstLine="480" w:firstLineChars="200"/>
        <w:rPr>
          <w:rFonts w:ascii="宋体" w:hAnsi="宋体"/>
          <w:sz w:val="24"/>
        </w:rPr>
      </w:pPr>
      <w:r>
        <w:rPr>
          <w:rFonts w:hint="eastAsia" w:ascii="宋体" w:hAnsi="宋体"/>
          <w:color w:val="000000"/>
          <w:sz w:val="24"/>
        </w:rPr>
        <w:t>学院围绕教改主题制定了年度“培、研、赛”计划，开展了“培、研、赛”系列常态化活动，通过举办教学设计、教学方法与应用等方面的培训班、邀请校内外专家开设系列讲座、立项教育教学改革研究项目，开展说专业(群)、说教研室、说课程、教学设计、课堂教学、实践教学等系列教学竞赛活动，</w:t>
      </w:r>
      <w:r>
        <w:rPr>
          <w:rFonts w:hint="eastAsia" w:ascii="宋体" w:hAnsi="宋体" w:cs="仿宋_GB2312"/>
          <w:color w:val="000000"/>
          <w:sz w:val="24"/>
        </w:rPr>
        <w:t>着力提升师资队伍整体水平。学院有湖南省党代表1名，近年来，先后</w:t>
      </w:r>
      <w:r>
        <w:rPr>
          <w:rFonts w:hint="eastAsia" w:ascii="宋体" w:hAnsi="宋体"/>
          <w:color w:val="000000"/>
          <w:sz w:val="24"/>
        </w:rPr>
        <w:t>培育了省级、行业教学名师9人，省级以上学科、专业带头人6人，省级教学团队3个，行业优秀教学团队2个。教师获得国家级教学成果奖3项，省级教学成果奖6项，获得国家级教学竞赛奖9项，省级教学竞赛奖30余项。</w:t>
      </w:r>
      <w:r>
        <w:rPr>
          <w:rFonts w:hint="eastAsia" w:ascii="宋体" w:hAnsi="宋体"/>
          <w:sz w:val="24"/>
          <w:szCs w:val="28"/>
        </w:rPr>
        <w:t>申请专利48项，授权专利22项，其中发明专利6项（图3-9）。</w:t>
      </w:r>
      <w:r>
        <w:rPr>
          <w:rFonts w:hint="eastAsia" w:ascii="宋体" w:hAnsi="宋体"/>
          <w:color w:val="000000"/>
          <w:sz w:val="24"/>
        </w:rPr>
        <w:t>2017年，学院教师立项</w:t>
      </w:r>
      <w:r>
        <w:rPr>
          <w:rFonts w:hint="eastAsia" w:ascii="宋体" w:hAnsi="宋体"/>
          <w:sz w:val="24"/>
        </w:rPr>
        <w:t>全国教育科学“十三五”规划2017年教育部重点课题</w:t>
      </w:r>
      <w:r>
        <w:rPr>
          <w:rFonts w:hint="eastAsia" w:ascii="宋体" w:hAnsi="宋体"/>
          <w:color w:val="000000"/>
          <w:sz w:val="24"/>
        </w:rPr>
        <w:t>1项，省</w:t>
      </w:r>
      <w:r>
        <w:rPr>
          <w:rFonts w:hint="eastAsia" w:ascii="宋体" w:hAnsi="宋体"/>
          <w:sz w:val="24"/>
        </w:rPr>
        <w:t>科教联合自然科学基金</w:t>
      </w:r>
      <w:r>
        <w:rPr>
          <w:rFonts w:hint="eastAsia" w:ascii="宋体" w:hAnsi="宋体"/>
          <w:color w:val="000000"/>
          <w:sz w:val="24"/>
        </w:rPr>
        <w:t>项目7项（全省65项）</w:t>
      </w:r>
      <w:r>
        <w:rPr>
          <w:rFonts w:hint="eastAsia" w:ascii="宋体" w:hAnsi="宋体"/>
          <w:sz w:val="24"/>
        </w:rPr>
        <w:t>，位居全省高职院校第一名，占居立项总数的10.8%，立项经费40万元</w:t>
      </w:r>
      <w:r>
        <w:rPr>
          <w:rFonts w:hint="eastAsia" w:ascii="宋体" w:hAnsi="宋体"/>
          <w:color w:val="000000"/>
          <w:sz w:val="24"/>
        </w:rPr>
        <w:t>。省级教育规划课题</w:t>
      </w:r>
      <w:r>
        <w:rPr>
          <w:rFonts w:hint="eastAsia" w:ascii="宋体" w:hAnsi="宋体"/>
          <w:sz w:val="24"/>
        </w:rPr>
        <w:t>我校申报12项，立项12项，立项率达100%，立项总数位居全省高职院校第一名，全省高校第二名。</w:t>
      </w:r>
    </w:p>
    <w:p>
      <w:pPr>
        <w:adjustRightInd w:val="0"/>
        <w:snapToGrid w:val="0"/>
        <w:spacing w:line="360" w:lineRule="auto"/>
        <w:jc w:val="center"/>
      </w:pPr>
      <w:r>
        <w:drawing>
          <wp:inline distT="0" distB="0" distL="114300" distR="114300">
            <wp:extent cx="5047615" cy="2743200"/>
            <wp:effectExtent l="4445" t="4445" r="15240" b="14605"/>
            <wp:docPr id="54"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jc w:val="center"/>
        <w:rPr>
          <w:rFonts w:ascii="宋体" w:hAnsi="宋体"/>
          <w:b/>
          <w:szCs w:val="21"/>
        </w:rPr>
      </w:pPr>
      <w:r>
        <w:rPr>
          <w:rFonts w:hint="eastAsia" w:ascii="宋体" w:hAnsi="宋体"/>
          <w:b/>
          <w:szCs w:val="21"/>
        </w:rPr>
        <w:t>图3-9获技术专利专任教师占比情况示意图</w:t>
      </w:r>
    </w:p>
    <w:p>
      <w:pPr>
        <w:jc w:val="right"/>
        <w:rPr>
          <w:rFonts w:ascii="宋体" w:hAnsi="宋体"/>
          <w:b/>
          <w:szCs w:val="21"/>
        </w:rPr>
      </w:pPr>
      <w:r>
        <w:rPr>
          <w:rFonts w:hint="eastAsia" w:ascii="宋体" w:hAnsi="宋体"/>
          <w:b/>
          <w:szCs w:val="21"/>
        </w:rPr>
        <w:t>数据来源：全国高职院校状态数据采集与管理系统</w:t>
      </w:r>
    </w:p>
    <w:p>
      <w:pPr>
        <w:adjustRightInd w:val="0"/>
        <w:snapToGrid w:val="0"/>
        <w:spacing w:line="360" w:lineRule="auto"/>
        <w:jc w:val="center"/>
      </w:pPr>
      <w:r>
        <w:drawing>
          <wp:inline distT="0" distB="0" distL="114300" distR="114300">
            <wp:extent cx="4572000" cy="2743200"/>
            <wp:effectExtent l="4445" t="4445" r="14605" b="1460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jc w:val="center"/>
        <w:rPr>
          <w:rFonts w:ascii="宋体" w:hAnsi="宋体"/>
          <w:b/>
          <w:szCs w:val="21"/>
        </w:rPr>
      </w:pPr>
      <w:r>
        <w:rPr>
          <w:rFonts w:hint="eastAsia" w:ascii="宋体" w:hAnsi="宋体"/>
          <w:b/>
          <w:szCs w:val="21"/>
        </w:rPr>
        <w:t>图3-10湖南省科教联合自然科学基金项目立项情况示意图</w:t>
      </w:r>
    </w:p>
    <w:p>
      <w:pPr>
        <w:jc w:val="right"/>
        <w:rPr>
          <w:rFonts w:ascii="宋体" w:hAnsi="宋体"/>
          <w:b/>
          <w:szCs w:val="21"/>
        </w:rPr>
      </w:pPr>
      <w:r>
        <w:rPr>
          <w:rFonts w:hint="eastAsia" w:ascii="宋体" w:hAnsi="宋体"/>
          <w:b/>
          <w:szCs w:val="21"/>
        </w:rPr>
        <w:t>数据来源：湖南省科技厅</w:t>
      </w:r>
    </w:p>
    <w:p>
      <w:pPr>
        <w:adjustRightInd w:val="0"/>
        <w:snapToGrid w:val="0"/>
        <w:spacing w:line="360" w:lineRule="auto"/>
        <w:jc w:val="center"/>
      </w:pPr>
    </w:p>
    <w:p>
      <w:pPr>
        <w:pStyle w:val="4"/>
        <w:spacing w:before="156" w:after="156"/>
        <w:ind w:firstLine="0" w:firstLineChars="0"/>
        <w:rPr>
          <w:color w:val="auto"/>
        </w:rPr>
      </w:pPr>
      <w:bookmarkStart w:id="106" w:name="_Toc14872"/>
      <w:bookmarkStart w:id="107" w:name="_Toc4736"/>
      <w:r>
        <w:rPr>
          <w:rFonts w:hint="eastAsia"/>
          <w:color w:val="auto"/>
        </w:rPr>
        <w:t>【典型案例14】刘望教授获评株洲市领军人才</w:t>
      </w:r>
      <w:bookmarkEnd w:id="106"/>
      <w:bookmarkEnd w:id="107"/>
    </w:p>
    <w:p>
      <w:pPr>
        <w:adjustRightInd w:val="0"/>
        <w:snapToGrid w:val="0"/>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2017年2月24日，中共株洲市委人才办、株洲市科学技术局联合下发了《关于“株洲市万名人才计划”2016年领军人才名单的通知》（株人才办[2017]2号），我校党委书记刘望教授获评株洲市2016年度领军人才。</w:t>
      </w:r>
    </w:p>
    <w:p>
      <w:pPr>
        <w:adjustRightInd w:val="0"/>
        <w:snapToGrid w:val="0"/>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刘望教授为经济学博士，硕士研究生导师，并担任湘潭大学商学院教授，湘潭大学社会主义市场经济理论研究中心专家理事，邓小平理论研讨会（全国首家）首席指导教师。刘望教授高度关注“一带一路”国家战略对高职教育面临的挑战与机遇。重点研究高职院校如何为参加“一带一路”建设的企业服务，如何推动“一带一路”建设校企合作，如何加强同“一带一路”沿线国家在职业教育领域的交流与合作，如何培养一大批适应“一带一路”战略的国际化技术技能型人才，以及加快职业院校“走出去”和国际化等开放性办学问题。提升学院的人才培养与社会服务能力，加强人才培养质量保障体系建设，积极探索国际合作道路。先后主持和参加了国家和省部级科研课题15项，其中国家社科基金项目4项，出版《当代中国市场营销前沿问题》、《营销企划》专著两部。发表论文20余篇，其中CSSCI 8篇，全国中文核心期刊10篇。</w:t>
      </w:r>
    </w:p>
    <w:p>
      <w:pPr>
        <w:pStyle w:val="4"/>
        <w:spacing w:before="156" w:after="156"/>
        <w:ind w:firstLine="0" w:firstLineChars="0"/>
        <w:rPr>
          <w:color w:val="auto"/>
        </w:rPr>
      </w:pPr>
      <w:bookmarkStart w:id="108" w:name="_Toc15021"/>
      <w:bookmarkStart w:id="109" w:name="_Toc10111"/>
      <w:r>
        <w:rPr>
          <w:rFonts w:hint="eastAsia"/>
          <w:color w:val="auto"/>
        </w:rPr>
        <w:t>【典型案例15】朱再英：高职院校一线的省党代表</w:t>
      </w:r>
      <w:bookmarkEnd w:id="108"/>
      <w:bookmarkEnd w:id="109"/>
    </w:p>
    <w:p>
      <w:pPr>
        <w:adjustRightInd w:val="0"/>
        <w:snapToGrid w:val="0"/>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朱再英，女，商学院教师，硕士，管理学副教授，工程造价专业负责人。多次获得优秀教师、教学标兵、十佳共产党员等荣誉称号；获2015年全国职业院校信息化教学大赛二等奖、2017年全国网络学习空间评比二等奖、湖南省信息化教学大赛一等奖1项、二等奖2项；指导学生参加2017年湖南省会计技能竞赛获团体二等奖；开发空间课程3门，其中《管理会计》入选湖南省首批“名师课堂”。先后担任教育部“网络学习空间人人通”培训师、湖南省信息化教学大赛评委等。先后主持湖南省教育科学十二五规划课题等省市级课题11项；出版教材4本、专著2本；发表论文20余篇。</w:t>
      </w:r>
    </w:p>
    <w:p>
      <w:pPr>
        <w:adjustRightInd w:val="0"/>
        <w:snapToGrid w:val="0"/>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2016年10月朱再英当选为中国共产党湖南省第十一次代表大会代表，湖南日报、湖南卫视、红网、株洲日报等媒体进行了相关报道。</w:t>
      </w:r>
    </w:p>
    <w:p>
      <w:pPr>
        <w:jc w:val="center"/>
      </w:pPr>
      <w:r>
        <w:drawing>
          <wp:inline distT="0" distB="0" distL="0" distR="0">
            <wp:extent cx="3857625" cy="2540000"/>
            <wp:effectExtent l="0" t="0" r="9525" b="1270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49">
                      <a:extLst>
                        <a:ext uri="{28A0092B-C50C-407E-A947-70E740481C1C}">
                          <a14:useLocalDpi xmlns:a14="http://schemas.microsoft.com/office/drawing/2010/main" val="0"/>
                        </a:ext>
                      </a:extLst>
                    </a:blip>
                    <a:srcRect t="25812" r="15481"/>
                    <a:stretch>
                      <a:fillRect/>
                    </a:stretch>
                  </pic:blipFill>
                  <pic:spPr>
                    <a:xfrm>
                      <a:off x="0" y="0"/>
                      <a:ext cx="3857625" cy="2540000"/>
                    </a:xfrm>
                    <a:prstGeom prst="rect">
                      <a:avLst/>
                    </a:prstGeom>
                    <a:noFill/>
                  </pic:spPr>
                </pic:pic>
              </a:graphicData>
            </a:graphic>
          </wp:inline>
        </w:drawing>
      </w:r>
    </w:p>
    <w:p>
      <w:pPr>
        <w:jc w:val="center"/>
      </w:pPr>
      <w:r>
        <w:rPr>
          <w:rFonts w:hint="eastAsia" w:ascii="宋体" w:hAnsi="宋体"/>
          <w:b/>
          <w:szCs w:val="21"/>
        </w:rPr>
        <w:t>图3-11朱再英在中共湖南省第十一次代表大会与省委副书记乌兰合影</w:t>
      </w:r>
    </w:p>
    <w:p>
      <w:pPr>
        <w:spacing w:line="360" w:lineRule="auto"/>
        <w:rPr>
          <w:rFonts w:ascii="仿宋_GB2312" w:hAnsi="宋体" w:eastAsia="仿宋_GB2312"/>
          <w:b/>
          <w:bCs/>
          <w:color w:val="3366FF"/>
          <w:sz w:val="24"/>
        </w:rPr>
      </w:pPr>
    </w:p>
    <w:p>
      <w:pPr>
        <w:pStyle w:val="4"/>
        <w:spacing w:before="156" w:after="156"/>
        <w:ind w:firstLine="0" w:firstLineChars="0"/>
        <w:rPr>
          <w:color w:val="auto"/>
        </w:rPr>
      </w:pPr>
      <w:bookmarkStart w:id="110" w:name="_Toc8848"/>
      <w:bookmarkStart w:id="111" w:name="_Toc25714"/>
      <w:r>
        <w:rPr>
          <w:rFonts w:hint="eastAsia"/>
          <w:color w:val="auto"/>
        </w:rPr>
        <w:t>【典型案例16】学院教师在省说课竞赛中斩获三金一铜</w:t>
      </w:r>
      <w:bookmarkEnd w:id="110"/>
      <w:bookmarkEnd w:id="111"/>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在</w:t>
      </w:r>
      <w:r>
        <w:rPr>
          <w:rFonts w:ascii="仿宋_GB2312" w:hAnsi="宋体" w:eastAsia="仿宋_GB2312"/>
          <w:color w:val="3366FF"/>
          <w:sz w:val="24"/>
        </w:rPr>
        <w:t>2017年湖南省高职院校专业课教师说课竞赛</w:t>
      </w:r>
      <w:r>
        <w:rPr>
          <w:rFonts w:hint="eastAsia" w:ascii="仿宋_GB2312" w:hAnsi="宋体" w:eastAsia="仿宋_GB2312"/>
          <w:color w:val="3366FF"/>
          <w:sz w:val="24"/>
        </w:rPr>
        <w:t>上</w:t>
      </w:r>
      <w:r>
        <w:rPr>
          <w:rFonts w:ascii="仿宋_GB2312" w:hAnsi="宋体" w:eastAsia="仿宋_GB2312"/>
          <w:color w:val="3366FF"/>
          <w:sz w:val="24"/>
        </w:rPr>
        <w:t>，学院选拔参赛的四位教师成功斩获三金一铜。谭美蓉老师、钟葳老师获得两项专业课教师说课一等奖，罗惜春老师获得公共课教师说课一等奖，佘知资老师获三等奖。</w:t>
      </w:r>
    </w:p>
    <w:p>
      <w:pPr>
        <w:adjustRightInd w:val="0"/>
        <w:snapToGrid w:val="0"/>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4762500" cy="3171825"/>
            <wp:effectExtent l="0" t="0" r="0" b="9525"/>
            <wp:docPr id="3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IMG_256"/>
                    <pic:cNvPicPr>
                      <a:picLocks noChangeAspect="1"/>
                    </pic:cNvPicPr>
                  </pic:nvPicPr>
                  <pic:blipFill>
                    <a:blip r:embed="rId50"/>
                    <a:stretch>
                      <a:fillRect/>
                    </a:stretch>
                  </pic:blipFill>
                  <pic:spPr>
                    <a:xfrm>
                      <a:off x="0" y="0"/>
                      <a:ext cx="4762500" cy="3171825"/>
                    </a:xfrm>
                    <a:prstGeom prst="rect">
                      <a:avLst/>
                    </a:prstGeom>
                    <a:noFill/>
                    <a:ln w="9525">
                      <a:noFill/>
                    </a:ln>
                  </pic:spPr>
                </pic:pic>
              </a:graphicData>
            </a:graphic>
          </wp:inline>
        </w:drawing>
      </w:r>
    </w:p>
    <w:p>
      <w:pPr>
        <w:jc w:val="center"/>
      </w:pPr>
      <w:r>
        <w:rPr>
          <w:rFonts w:hint="eastAsia" w:ascii="宋体" w:hAnsi="宋体"/>
          <w:b/>
          <w:szCs w:val="21"/>
        </w:rPr>
        <w:t>图3-12学院教师在全省说课竞赛现场</w:t>
      </w:r>
    </w:p>
    <w:p>
      <w:pPr>
        <w:pStyle w:val="4"/>
        <w:spacing w:before="156" w:after="156"/>
        <w:ind w:firstLine="562"/>
        <w:rPr>
          <w:color w:val="000000" w:themeColor="text1"/>
        </w:rPr>
      </w:pPr>
      <w:bookmarkStart w:id="112" w:name="_Toc4450"/>
      <w:bookmarkStart w:id="113" w:name="_Toc19845"/>
      <w:r>
        <w:rPr>
          <w:rFonts w:hint="eastAsia"/>
          <w:color w:val="000000" w:themeColor="text1"/>
        </w:rPr>
        <w:t>（3）兼职教师队伍建设成效显著</w:t>
      </w:r>
      <w:bookmarkEnd w:id="112"/>
      <w:bookmarkEnd w:id="113"/>
    </w:p>
    <w:p>
      <w:pPr>
        <w:adjustRightInd w:val="0"/>
        <w:snapToGrid w:val="0"/>
        <w:spacing w:line="360" w:lineRule="auto"/>
        <w:ind w:firstLine="480" w:firstLineChars="200"/>
        <w:rPr>
          <w:rFonts w:ascii="宋体" w:hAnsi="宋体"/>
          <w:sz w:val="24"/>
        </w:rPr>
      </w:pPr>
      <w:r>
        <w:rPr>
          <w:rFonts w:hint="eastAsia" w:ascii="宋体" w:hAnsi="宋体"/>
          <w:sz w:val="24"/>
        </w:rPr>
        <w:t>2016年，学院通过提高企业兼职教师课酬，吸引了巴陵石化、湖南海利、株洲时代新材、索菲亚、湖南湘大比徳等知名企业能工巧匠参与教学，充实了兼职教师队伍，建成了一支常备、稳定的外聘教师队伍。</w:t>
      </w:r>
    </w:p>
    <w:p>
      <w:pPr>
        <w:adjustRightInd w:val="0"/>
        <w:snapToGrid w:val="0"/>
        <w:spacing w:line="360" w:lineRule="auto"/>
        <w:ind w:firstLine="480" w:firstLineChars="200"/>
        <w:rPr>
          <w:rFonts w:ascii="宋体" w:hAnsi="宋体"/>
          <w:sz w:val="24"/>
        </w:rPr>
      </w:pPr>
      <w:r>
        <w:rPr>
          <w:rFonts w:hint="eastAsia" w:ascii="宋体" w:hAnsi="宋体"/>
          <w:sz w:val="24"/>
        </w:rPr>
        <w:t>2017年，学院在2016年兼职教师队伍建设的良好基础上，加大了对兼职教师准入、考核、淘汰机制建设。一是在兼职教师的选用上，将标准提高到必须具有5年以上企业一线工作经验或具有高级技术职务的企业人员；二是以专业群为单位，根据在校生规模合理规划、动态调整兼职教师数量，确保各专业群兼职教师数量均衡；三是加强对兼职教师师德规范和教学能力提升培训，实施“1＋1”帮带计划，即1名校内骨干教师联系1名企业兼职教师，实现双方在教学、现场实践能力方面的互带互助互促，结对成长发展；四是从师德、教学过程、学生评价、教学效果等方面进行量化考核，推进兼职教师队伍整体素质。</w:t>
      </w:r>
    </w:p>
    <w:p>
      <w:pPr>
        <w:adjustRightInd w:val="0"/>
        <w:snapToGrid w:val="0"/>
        <w:spacing w:line="360" w:lineRule="auto"/>
      </w:pPr>
      <w:r>
        <w:drawing>
          <wp:inline distT="0" distB="0" distL="114300" distR="114300">
            <wp:extent cx="5116830" cy="2680335"/>
            <wp:effectExtent l="4445" t="4445" r="22225" b="20320"/>
            <wp:docPr id="5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jc w:val="center"/>
      </w:pPr>
      <w:r>
        <w:rPr>
          <w:rFonts w:hint="eastAsia" w:ascii="宋体" w:hAnsi="宋体"/>
          <w:b/>
          <w:szCs w:val="21"/>
        </w:rPr>
        <w:t>图3-13学院及全国高职院校2017学年兼职教师课酬总额示意图</w:t>
      </w:r>
    </w:p>
    <w:p>
      <w:pPr>
        <w:jc w:val="right"/>
        <w:rPr>
          <w:rFonts w:ascii="宋体" w:hAnsi="宋体"/>
          <w:b/>
          <w:szCs w:val="21"/>
        </w:rPr>
      </w:pPr>
      <w:r>
        <w:rPr>
          <w:rFonts w:hint="eastAsia" w:ascii="宋体" w:hAnsi="宋体"/>
          <w:b/>
          <w:szCs w:val="21"/>
        </w:rPr>
        <w:t>数据来源：全国高职院校状态数据采集与管理系统</w:t>
      </w:r>
    </w:p>
    <w:p>
      <w:pPr>
        <w:adjustRightInd w:val="0"/>
        <w:snapToGrid w:val="0"/>
        <w:spacing w:line="360" w:lineRule="auto"/>
      </w:pPr>
    </w:p>
    <w:p>
      <w:pPr>
        <w:pStyle w:val="3"/>
      </w:pPr>
      <w:bookmarkStart w:id="114" w:name="_Toc14922"/>
      <w:bookmarkStart w:id="115" w:name="_Toc25692"/>
      <w:r>
        <w:rPr>
          <w:rFonts w:hint="eastAsia"/>
        </w:rPr>
        <w:t>3.6 校企合作育人</w:t>
      </w:r>
      <w:bookmarkEnd w:id="114"/>
      <w:bookmarkEnd w:id="115"/>
    </w:p>
    <w:p>
      <w:pPr>
        <w:adjustRightInd w:val="0"/>
        <w:snapToGrid w:val="0"/>
        <w:spacing w:line="360" w:lineRule="auto"/>
        <w:ind w:firstLine="480" w:firstLineChars="200"/>
        <w:rPr>
          <w:rFonts w:ascii="宋体" w:hAnsi="宋体"/>
          <w:sz w:val="24"/>
        </w:rPr>
      </w:pPr>
      <w:r>
        <w:rPr>
          <w:rFonts w:hint="eastAsia" w:ascii="宋体" w:hAnsi="宋体"/>
          <w:sz w:val="24"/>
        </w:rPr>
        <w:t>学院作为湖南化工职业教育集团的牵头学院，几年来，学院依托职教集团，校企、校际间合作共赢、优势互补，已初步形成了集团内部的产业链、师资链、信息链、技术推广链和就业链，促进了集团各成员单位的共同进步和发展，并带来了切实的利益。</w:t>
      </w:r>
    </w:p>
    <w:p>
      <w:pPr>
        <w:pStyle w:val="4"/>
        <w:spacing w:before="156" w:after="156"/>
        <w:ind w:firstLine="562"/>
        <w:rPr>
          <w:color w:val="000000" w:themeColor="text1"/>
        </w:rPr>
      </w:pPr>
      <w:bookmarkStart w:id="116" w:name="_Toc24366"/>
      <w:bookmarkStart w:id="117" w:name="_Toc23057"/>
      <w:r>
        <w:rPr>
          <w:rFonts w:hint="eastAsia"/>
          <w:color w:val="000000" w:themeColor="text1"/>
        </w:rPr>
        <w:t>（1）深度融合，协同创新</w:t>
      </w:r>
      <w:bookmarkEnd w:id="116"/>
      <w:bookmarkEnd w:id="117"/>
    </w:p>
    <w:p>
      <w:pPr>
        <w:adjustRightInd w:val="0"/>
        <w:snapToGrid w:val="0"/>
        <w:spacing w:line="360" w:lineRule="auto"/>
        <w:ind w:firstLine="480" w:firstLineChars="200"/>
        <w:rPr>
          <w:rFonts w:ascii="宋体" w:hAnsi="宋体"/>
          <w:sz w:val="24"/>
        </w:rPr>
      </w:pPr>
      <w:r>
        <w:rPr>
          <w:rFonts w:hint="eastAsia" w:ascii="宋体" w:hAnsi="宋体"/>
          <w:sz w:val="24"/>
        </w:rPr>
        <w:t>依托职教集团成员单位，建立以纳米粉体材料、涂料涂装、分析检测、环境处理等技术研发应用与能源测试项目为载体的应用化工技术协同创新中心，按照企业生产环境建成应用化工技术、食品药品生产与检测、化工自动化技术等3个以上技术技能人才培养培训中心。共建了涂料研发与应用技术中心、化妆品生产与品牌推广中心、天然药物提取工程技术研发中心和自动化应用技术研创工作室等研发机构。同时，联合校友会，成立了华南涂料行业校友分会、华南化妆品行业校友分会，促成了学校与校友、社会企业以及与地方之间等方面的合作，进一步开拓校友、学校、地方互利互赢和共同发展的良好局面。</w:t>
      </w:r>
    </w:p>
    <w:p>
      <w:pPr>
        <w:pStyle w:val="4"/>
        <w:spacing w:before="156" w:after="156"/>
        <w:ind w:firstLine="0" w:firstLineChars="0"/>
        <w:rPr>
          <w:color w:val="auto"/>
        </w:rPr>
      </w:pPr>
      <w:bookmarkStart w:id="118" w:name="_Toc21151"/>
      <w:bookmarkStart w:id="119" w:name="_Toc30959"/>
      <w:r>
        <w:rPr>
          <w:rFonts w:hint="eastAsia"/>
          <w:color w:val="auto"/>
        </w:rPr>
        <w:t>【典型案例17】华南化妆品行业校友分会在我校正式成立</w:t>
      </w:r>
      <w:bookmarkEnd w:id="118"/>
      <w:bookmarkEnd w:id="119"/>
    </w:p>
    <w:p>
      <w:pPr>
        <w:spacing w:line="360" w:lineRule="auto"/>
        <w:ind w:firstLine="480" w:firstLineChars="200"/>
        <w:rPr>
          <w:rFonts w:ascii="仿宋_GB2312" w:hAnsi="宋体" w:eastAsia="仿宋_GB2312"/>
          <w:color w:val="3366FF"/>
          <w:sz w:val="24"/>
        </w:rPr>
      </w:pPr>
      <w:bookmarkStart w:id="120" w:name="_Toc28382"/>
      <w:r>
        <w:rPr>
          <w:rFonts w:hint="eastAsia" w:ascii="仿宋_GB2312" w:hAnsi="宋体" w:eastAsia="仿宋_GB2312"/>
          <w:color w:val="3366FF"/>
          <w:sz w:val="24"/>
        </w:rPr>
        <w:t>6月10日，我校华南化妆品行业校友分会在母校新校区图书馆二号报告厅隆重召开成立大会，华南地区从事化妆品行业工作的近百名校友前来参会。华南化妆品行业校友分会是一个以行业建制的校友分会，开启了化妆品行业校友工作新篇章，该分会的成立对于华南地区化妆品行业校友之间的沟通交流、校友与母校之间的情感联络及资源的整合，具有重要历史意义。成立大会结束后，化工学院召集前来参加华南化妆品行业校友分会成立大会的全体人员在化工学院会议室召开座谈会，就化妆品专业建设、人才培养方案进行了深度座谈，党委书记刘望教授亲临会场，对该专业提出要求，同时也对校友们寄予了厚望。</w:t>
      </w:r>
      <w:bookmarkEnd w:id="120"/>
    </w:p>
    <w:p>
      <w:pPr>
        <w:widowControl/>
        <w:shd w:val="clear" w:color="auto" w:fill="FFFFFF"/>
        <w:spacing w:line="450" w:lineRule="atLeast"/>
        <w:jc w:val="center"/>
        <w:rPr>
          <w:rFonts w:ascii="微软雅黑" w:hAnsi="微软雅黑" w:eastAsia="微软雅黑" w:cs="宋体"/>
          <w:color w:val="0000FF"/>
          <w:kern w:val="0"/>
          <w:szCs w:val="21"/>
        </w:rPr>
      </w:pPr>
      <w:r>
        <w:rPr>
          <w:rFonts w:ascii="微软雅黑" w:hAnsi="微软雅黑" w:eastAsia="微软雅黑" w:cs="宋体"/>
          <w:color w:val="0000FF"/>
          <w:kern w:val="0"/>
          <w:szCs w:val="21"/>
        </w:rPr>
        <w:drawing>
          <wp:inline distT="0" distB="0" distL="114300" distR="114300">
            <wp:extent cx="4191635" cy="2791460"/>
            <wp:effectExtent l="0" t="0" r="18415" b="8890"/>
            <wp:docPr id="32" name="图片 5" descr="DSC_000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DSC_0007"/>
                    <pic:cNvPicPr>
                      <a:picLocks noChangeAspect="1"/>
                    </pic:cNvPicPr>
                  </pic:nvPicPr>
                  <pic:blipFill>
                    <a:blip r:embed="rId53"/>
                    <a:stretch>
                      <a:fillRect/>
                    </a:stretch>
                  </pic:blipFill>
                  <pic:spPr>
                    <a:xfrm>
                      <a:off x="0" y="0"/>
                      <a:ext cx="4191635" cy="2791460"/>
                    </a:xfrm>
                    <a:prstGeom prst="rect">
                      <a:avLst/>
                    </a:prstGeom>
                    <a:noFill/>
                    <a:ln w="9525">
                      <a:noFill/>
                    </a:ln>
                  </pic:spPr>
                </pic:pic>
              </a:graphicData>
            </a:graphic>
          </wp:inline>
        </w:drawing>
      </w:r>
    </w:p>
    <w:p>
      <w:pPr>
        <w:jc w:val="center"/>
        <w:rPr>
          <w:rFonts w:ascii="宋体" w:hAnsi="宋体"/>
          <w:b/>
          <w:szCs w:val="21"/>
        </w:rPr>
      </w:pPr>
      <w:r>
        <w:rPr>
          <w:rFonts w:hint="eastAsia" w:ascii="宋体" w:hAnsi="宋体"/>
          <w:b/>
          <w:szCs w:val="21"/>
        </w:rPr>
        <w:t>图3-14 华南化妆品行业校友分会成立大会现场</w:t>
      </w:r>
    </w:p>
    <w:p>
      <w:pPr>
        <w:pStyle w:val="4"/>
        <w:spacing w:before="156" w:after="156"/>
        <w:ind w:firstLine="562"/>
        <w:rPr>
          <w:color w:val="000000" w:themeColor="text1"/>
        </w:rPr>
      </w:pPr>
      <w:bookmarkStart w:id="121" w:name="_Toc20258"/>
      <w:bookmarkStart w:id="122" w:name="_Toc20562"/>
      <w:r>
        <w:rPr>
          <w:rFonts w:hint="eastAsia"/>
          <w:color w:val="000000" w:themeColor="text1"/>
        </w:rPr>
        <w:t>（2）校企共育工匠人才</w:t>
      </w:r>
      <w:bookmarkEnd w:id="121"/>
      <w:bookmarkEnd w:id="122"/>
    </w:p>
    <w:p>
      <w:pPr>
        <w:pStyle w:val="13"/>
        <w:widowControl/>
        <w:shd w:val="clear" w:color="auto" w:fill="FFFFFF"/>
        <w:adjustRightInd w:val="0"/>
        <w:snapToGrid w:val="0"/>
        <w:spacing w:beforeAutospacing="0" w:afterAutospacing="0" w:line="360" w:lineRule="auto"/>
        <w:ind w:firstLine="480"/>
        <w:rPr>
          <w:rFonts w:ascii="宋体" w:hAnsi="宋体" w:cstheme="minorBidi"/>
          <w:kern w:val="2"/>
        </w:rPr>
      </w:pPr>
      <w:r>
        <w:rPr>
          <w:rFonts w:hint="eastAsia" w:ascii="宋体" w:hAnsi="宋体" w:cstheme="minorBidi"/>
          <w:kern w:val="2"/>
        </w:rPr>
        <w:t>学院根据行业生产特点，通过归类生产与经营等企业人才需求订单，将同类需求企业订单组合成班，开展跨企业的“组合式订单培养”（见图3-15）。培养过程中，校企合作双方共同制定实施教学计划和人才培养方案，共同对学生进行全面教育和日常管理，邀请业内有良好学历背景及实践经验丰富的专家，结合专业课程的具体章节开设专题或承担一门专业课程教学（见图3-16），既丰富了课堂教学形态，又使教学内容得以紧贴行业、企业的最新发展动态，使培养过程更贴近企业岗位群需求。</w:t>
      </w:r>
    </w:p>
    <w:p>
      <w:pPr>
        <w:pStyle w:val="13"/>
        <w:widowControl/>
        <w:shd w:val="clear" w:color="auto" w:fill="FFFFFF"/>
        <w:adjustRightInd w:val="0"/>
        <w:snapToGrid w:val="0"/>
        <w:spacing w:beforeAutospacing="0" w:afterAutospacing="0" w:line="360" w:lineRule="auto"/>
        <w:jc w:val="center"/>
      </w:pPr>
      <w:r>
        <w:drawing>
          <wp:inline distT="0" distB="0" distL="114300" distR="114300">
            <wp:extent cx="5005705" cy="2743200"/>
            <wp:effectExtent l="4445" t="4445" r="19050" b="14605"/>
            <wp:docPr id="1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jc w:val="center"/>
      </w:pPr>
      <w:r>
        <w:rPr>
          <w:rFonts w:hint="eastAsia" w:ascii="宋体" w:hAnsi="宋体"/>
          <w:b/>
          <w:szCs w:val="21"/>
        </w:rPr>
        <w:t>图3-15学院及全国高职院校2017学年主要合作企业订单培养人数占在校生人数比例</w:t>
      </w:r>
    </w:p>
    <w:p>
      <w:pPr>
        <w:jc w:val="right"/>
        <w:rPr>
          <w:rFonts w:ascii="宋体" w:hAnsi="宋体"/>
          <w:b/>
          <w:szCs w:val="21"/>
        </w:rPr>
      </w:pPr>
      <w:r>
        <w:rPr>
          <w:rFonts w:hint="eastAsia" w:ascii="宋体" w:hAnsi="宋体"/>
          <w:b/>
          <w:szCs w:val="21"/>
        </w:rPr>
        <w:t>数据来源：全国高职院校状态数据采集与管理系统</w:t>
      </w:r>
    </w:p>
    <w:p>
      <w:pPr>
        <w:pStyle w:val="13"/>
        <w:widowControl/>
        <w:shd w:val="clear" w:color="auto" w:fill="FFFFFF"/>
        <w:adjustRightInd w:val="0"/>
        <w:snapToGrid w:val="0"/>
        <w:spacing w:beforeAutospacing="0" w:afterAutospacing="0" w:line="360" w:lineRule="auto"/>
        <w:jc w:val="center"/>
      </w:pPr>
      <w:r>
        <w:drawing>
          <wp:inline distT="0" distB="0" distL="114300" distR="114300">
            <wp:extent cx="5047615" cy="2743200"/>
            <wp:effectExtent l="4445" t="4445" r="15240" b="14605"/>
            <wp:docPr id="1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jc w:val="center"/>
      </w:pPr>
      <w:r>
        <w:rPr>
          <w:rFonts w:hint="eastAsia" w:ascii="宋体" w:hAnsi="宋体"/>
          <w:b/>
          <w:szCs w:val="21"/>
        </w:rPr>
        <w:t>图3-16学院及全国高职院校2017学年校企合作共同开发课程占开设课程总门数比例</w:t>
      </w:r>
    </w:p>
    <w:p>
      <w:pPr>
        <w:jc w:val="right"/>
        <w:rPr>
          <w:rFonts w:ascii="宋体" w:hAnsi="宋体"/>
          <w:b/>
          <w:szCs w:val="21"/>
        </w:rPr>
      </w:pPr>
      <w:r>
        <w:rPr>
          <w:rFonts w:hint="eastAsia" w:ascii="宋体" w:hAnsi="宋体"/>
          <w:b/>
          <w:szCs w:val="21"/>
        </w:rPr>
        <w:t>数据来源：全国高职院校状态数据采集与管理系统</w:t>
      </w:r>
    </w:p>
    <w:p>
      <w:pPr>
        <w:pStyle w:val="13"/>
        <w:widowControl/>
        <w:shd w:val="clear" w:color="auto" w:fill="FFFFFF"/>
        <w:adjustRightInd w:val="0"/>
        <w:snapToGrid w:val="0"/>
        <w:spacing w:beforeAutospacing="0" w:afterAutospacing="0" w:line="360" w:lineRule="auto"/>
        <w:jc w:val="center"/>
      </w:pPr>
    </w:p>
    <w:p>
      <w:pPr>
        <w:pStyle w:val="4"/>
        <w:spacing w:before="156" w:after="156"/>
        <w:ind w:firstLine="0" w:firstLineChars="0"/>
        <w:rPr>
          <w:color w:val="auto"/>
        </w:rPr>
      </w:pPr>
      <w:bookmarkStart w:id="123" w:name="_Toc21094"/>
      <w:r>
        <w:rPr>
          <w:rFonts w:hint="eastAsia"/>
          <w:color w:val="auto"/>
        </w:rPr>
        <w:t>【典型案例18】</w:t>
      </w:r>
      <w:r>
        <w:rPr>
          <w:color w:val="auto"/>
        </w:rPr>
        <w:t>赛场夫妻档包揽全省铜行业仪表工技术比武冠亚军</w:t>
      </w:r>
      <w:bookmarkEnd w:id="123"/>
    </w:p>
    <w:p>
      <w:pPr>
        <w:pStyle w:val="13"/>
        <w:widowControl/>
        <w:shd w:val="clear" w:color="auto" w:fill="FFFFFF"/>
        <w:adjustRightInd w:val="0"/>
        <w:snapToGrid w:val="0"/>
        <w:spacing w:beforeAutospacing="0" w:afterAutospacing="0" w:line="360" w:lineRule="auto"/>
        <w:ind w:firstLine="480" w:firstLineChars="200"/>
        <w:rPr>
          <w:rFonts w:ascii="仿宋_GB2312" w:hAnsi="宋体" w:eastAsia="仿宋_GB2312" w:cstheme="minorBidi"/>
          <w:color w:val="3366FF"/>
          <w:szCs w:val="22"/>
        </w:rPr>
      </w:pPr>
      <w:r>
        <w:rPr>
          <w:rFonts w:ascii="仿宋_GB2312" w:hAnsi="宋体" w:eastAsia="仿宋_GB2312" w:cstheme="minorBidi"/>
          <w:color w:val="3366FF"/>
          <w:szCs w:val="22"/>
        </w:rPr>
        <w:t>在</w:t>
      </w:r>
      <w:r>
        <w:rPr>
          <w:rFonts w:hint="eastAsia" w:ascii="仿宋_GB2312" w:hAnsi="宋体" w:eastAsia="仿宋_GB2312" w:cstheme="minorBidi"/>
          <w:color w:val="3366FF"/>
          <w:szCs w:val="22"/>
        </w:rPr>
        <w:t>7月举行</w:t>
      </w:r>
      <w:r>
        <w:rPr>
          <w:rFonts w:ascii="仿宋_GB2312" w:hAnsi="宋体" w:eastAsia="仿宋_GB2312" w:cstheme="minorBidi"/>
          <w:color w:val="3366FF"/>
          <w:szCs w:val="22"/>
        </w:rPr>
        <w:t>的</w:t>
      </w:r>
      <w:r>
        <w:rPr>
          <w:rFonts w:hint="eastAsia" w:ascii="仿宋_GB2312" w:hAnsi="宋体" w:eastAsia="仿宋_GB2312" w:cstheme="minorBidi"/>
          <w:color w:val="3366FF"/>
          <w:szCs w:val="22"/>
        </w:rPr>
        <w:t>江西</w:t>
      </w:r>
      <w:r>
        <w:rPr>
          <w:rFonts w:ascii="仿宋_GB2312" w:hAnsi="宋体" w:eastAsia="仿宋_GB2312" w:cstheme="minorBidi"/>
          <w:color w:val="3366FF"/>
          <w:szCs w:val="22"/>
        </w:rPr>
        <w:t>省铜行业仪表工技术比武中</w:t>
      </w:r>
      <w:r>
        <w:rPr>
          <w:rFonts w:hint="eastAsia" w:ascii="仿宋_GB2312" w:hAnsi="宋体" w:eastAsia="仿宋_GB2312" w:cstheme="minorBidi"/>
          <w:color w:val="3366FF"/>
          <w:szCs w:val="22"/>
        </w:rPr>
        <w:t>，</w:t>
      </w:r>
      <w:r>
        <w:rPr>
          <w:rFonts w:ascii="仿宋_GB2312" w:hAnsi="宋体" w:eastAsia="仿宋_GB2312" w:cstheme="minorBidi"/>
          <w:color w:val="3366FF"/>
          <w:szCs w:val="22"/>
        </w:rPr>
        <w:t>有着</w:t>
      </w:r>
      <w:r>
        <w:rPr>
          <w:rFonts w:hint="eastAsia" w:ascii="仿宋_GB2312" w:hAnsi="宋体" w:eastAsia="仿宋_GB2312" w:cstheme="minorBidi"/>
          <w:color w:val="3366FF"/>
          <w:szCs w:val="22"/>
        </w:rPr>
        <w:t>这样</w:t>
      </w:r>
      <w:r>
        <w:rPr>
          <w:rFonts w:ascii="仿宋_GB2312" w:hAnsi="宋体" w:eastAsia="仿宋_GB2312" w:cstheme="minorBidi"/>
          <w:color w:val="3366FF"/>
          <w:szCs w:val="22"/>
        </w:rPr>
        <w:t>一对赛场夫妻档</w:t>
      </w:r>
      <w:r>
        <w:rPr>
          <w:rFonts w:hint="eastAsia" w:ascii="仿宋_GB2312" w:hAnsi="宋体" w:eastAsia="仿宋_GB2312" w:cstheme="minorBidi"/>
          <w:color w:val="3366FF"/>
          <w:szCs w:val="22"/>
        </w:rPr>
        <w:t>，</w:t>
      </w:r>
      <w:r>
        <w:rPr>
          <w:rFonts w:ascii="仿宋_GB2312" w:hAnsi="宋体" w:eastAsia="仿宋_GB2312" w:cstheme="minorBidi"/>
          <w:color w:val="3366FF"/>
          <w:szCs w:val="22"/>
        </w:rPr>
        <w:t>一举包揽了仪表工比赛的冠亚军</w:t>
      </w:r>
      <w:r>
        <w:rPr>
          <w:rFonts w:hint="eastAsia" w:ascii="仿宋_GB2312" w:hAnsi="宋体" w:eastAsia="仿宋_GB2312" w:cstheme="minorBidi"/>
          <w:color w:val="3366FF"/>
          <w:szCs w:val="22"/>
        </w:rPr>
        <w:t>，</w:t>
      </w:r>
      <w:r>
        <w:rPr>
          <w:rFonts w:ascii="仿宋_GB2312" w:hAnsi="宋体" w:eastAsia="仿宋_GB2312" w:cstheme="minorBidi"/>
          <w:color w:val="3366FF"/>
          <w:szCs w:val="22"/>
        </w:rPr>
        <w:t>可谓技惊四座</w:t>
      </w:r>
      <w:r>
        <w:rPr>
          <w:rFonts w:hint="eastAsia" w:ascii="仿宋_GB2312" w:hAnsi="宋体" w:eastAsia="仿宋_GB2312" w:cstheme="minorBidi"/>
          <w:color w:val="3366FF"/>
          <w:szCs w:val="22"/>
        </w:rPr>
        <w:t>！男</w:t>
      </w:r>
      <w:r>
        <w:rPr>
          <w:rFonts w:ascii="仿宋_GB2312" w:hAnsi="宋体" w:eastAsia="仿宋_GB2312" w:cstheme="minorBidi"/>
          <w:color w:val="3366FF"/>
          <w:szCs w:val="22"/>
        </w:rPr>
        <w:t>的叫何志学，女的是卢益辉</w:t>
      </w:r>
      <w:r>
        <w:rPr>
          <w:rFonts w:hint="eastAsia" w:ascii="仿宋_GB2312" w:hAnsi="宋体" w:eastAsia="仿宋_GB2312" w:cstheme="minorBidi"/>
          <w:color w:val="3366FF"/>
          <w:szCs w:val="22"/>
        </w:rPr>
        <w:t>，</w:t>
      </w:r>
      <w:r>
        <w:rPr>
          <w:rFonts w:ascii="仿宋_GB2312" w:hAnsi="宋体" w:eastAsia="仿宋_GB2312" w:cstheme="minorBidi"/>
          <w:color w:val="3366FF"/>
          <w:szCs w:val="22"/>
        </w:rPr>
        <w:t>他们是来自大山厂的一对年轻夫妻</w:t>
      </w:r>
      <w:r>
        <w:rPr>
          <w:rFonts w:hint="eastAsia" w:ascii="仿宋_GB2312" w:hAnsi="宋体" w:eastAsia="仿宋_GB2312" w:cstheme="minorBidi"/>
          <w:color w:val="3366FF"/>
          <w:szCs w:val="22"/>
        </w:rPr>
        <w:t>，同时俩人也是湖南化工学院校友。从学校毕业后便双双来到大山选矿厂，带着对电气行业的热爱成为了仪表工。一个“缘”字，把他俩系在了一起。</w:t>
      </w:r>
      <w:r>
        <w:rPr>
          <w:rFonts w:ascii="仿宋_GB2312" w:hAnsi="宋体" w:eastAsia="仿宋_GB2312" w:cstheme="minorBidi"/>
          <w:color w:val="3366FF"/>
          <w:szCs w:val="22"/>
        </w:rPr>
        <w:t>三年前，他们有了一个自己的新家</w:t>
      </w:r>
      <w:r>
        <w:rPr>
          <w:rFonts w:hint="eastAsia" w:ascii="仿宋_GB2312" w:hAnsi="宋体" w:eastAsia="仿宋_GB2312" w:cstheme="minorBidi"/>
          <w:color w:val="3366FF"/>
          <w:szCs w:val="22"/>
        </w:rPr>
        <w:t>，却在</w:t>
      </w:r>
      <w:r>
        <w:rPr>
          <w:rFonts w:ascii="仿宋_GB2312" w:hAnsi="宋体" w:eastAsia="仿宋_GB2312" w:cstheme="minorBidi"/>
          <w:color w:val="3366FF"/>
          <w:szCs w:val="22"/>
        </w:rPr>
        <w:t>不大的小院里腾出个小房间，成为他们平时鼓捣专业</w:t>
      </w:r>
      <w:r>
        <w:rPr>
          <w:rFonts w:hint="eastAsia" w:ascii="仿宋_GB2312" w:hAnsi="宋体" w:eastAsia="仿宋_GB2312" w:cstheme="minorBidi"/>
          <w:color w:val="3366FF"/>
          <w:szCs w:val="22"/>
        </w:rPr>
        <w:t>、</w:t>
      </w:r>
      <w:r>
        <w:rPr>
          <w:rFonts w:ascii="仿宋_GB2312" w:hAnsi="宋体" w:eastAsia="仿宋_GB2312" w:cstheme="minorBidi"/>
          <w:color w:val="3366FF"/>
          <w:szCs w:val="22"/>
        </w:rPr>
        <w:t>练习技能的小场所</w:t>
      </w:r>
      <w:r>
        <w:rPr>
          <w:rFonts w:hint="eastAsia" w:ascii="仿宋_GB2312" w:hAnsi="宋体" w:eastAsia="仿宋_GB2312" w:cstheme="minorBidi"/>
          <w:color w:val="3366FF"/>
          <w:szCs w:val="22"/>
        </w:rPr>
        <w:t>。</w:t>
      </w:r>
      <w:r>
        <w:rPr>
          <w:rFonts w:ascii="仿宋_GB2312" w:hAnsi="宋体" w:eastAsia="仿宋_GB2312" w:cstheme="minorBidi"/>
          <w:color w:val="3366FF"/>
          <w:szCs w:val="22"/>
        </w:rPr>
        <w:t>一分耕耘，一分收获</w:t>
      </w:r>
      <w:r>
        <w:rPr>
          <w:rFonts w:hint="eastAsia" w:ascii="仿宋_GB2312" w:hAnsi="宋体" w:eastAsia="仿宋_GB2312" w:cstheme="minorBidi"/>
          <w:color w:val="3366FF"/>
          <w:szCs w:val="22"/>
        </w:rPr>
        <w:t>。</w:t>
      </w:r>
      <w:r>
        <w:rPr>
          <w:rFonts w:ascii="仿宋_GB2312" w:hAnsi="宋体" w:eastAsia="仿宋_GB2312" w:cstheme="minorBidi"/>
          <w:color w:val="3366FF"/>
          <w:szCs w:val="22"/>
        </w:rPr>
        <w:t>此次拿下全省比武的冠亚军</w:t>
      </w:r>
      <w:r>
        <w:rPr>
          <w:rFonts w:hint="eastAsia" w:ascii="仿宋_GB2312" w:hAnsi="宋体" w:eastAsia="仿宋_GB2312" w:cstheme="minorBidi"/>
          <w:color w:val="3366FF"/>
          <w:szCs w:val="22"/>
        </w:rPr>
        <w:t>，</w:t>
      </w:r>
      <w:r>
        <w:rPr>
          <w:rFonts w:ascii="仿宋_GB2312" w:hAnsi="宋体" w:eastAsia="仿宋_GB2312" w:cstheme="minorBidi"/>
          <w:color w:val="3366FF"/>
          <w:szCs w:val="22"/>
        </w:rPr>
        <w:t>赢得了满堂喝彩！</w:t>
      </w:r>
    </w:p>
    <w:p>
      <w:pPr>
        <w:pStyle w:val="13"/>
        <w:widowControl/>
        <w:shd w:val="clear" w:color="auto" w:fill="FFFFFF"/>
        <w:adjustRightInd w:val="0"/>
        <w:snapToGrid w:val="0"/>
        <w:spacing w:beforeAutospacing="0" w:afterAutospacing="0" w:line="360" w:lineRule="auto"/>
        <w:jc w:val="center"/>
        <w:rPr>
          <w:rFonts w:ascii="仿宋_GB2312" w:hAnsi="宋体" w:eastAsia="仿宋_GB2312" w:cstheme="minorBidi"/>
          <w:color w:val="3366FF"/>
          <w:szCs w:val="22"/>
        </w:rPr>
      </w:pPr>
      <w:r>
        <w:rPr>
          <w:rFonts w:ascii="宋体" w:hAnsi="宋体" w:eastAsia="宋体" w:cs="宋体"/>
        </w:rPr>
        <w:drawing>
          <wp:inline distT="0" distB="0" distL="114300" distR="114300">
            <wp:extent cx="4762500" cy="352425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6"/>
                    <a:stretch>
                      <a:fillRect/>
                    </a:stretch>
                  </pic:blipFill>
                  <pic:spPr>
                    <a:xfrm>
                      <a:off x="0" y="0"/>
                      <a:ext cx="4762500" cy="3524250"/>
                    </a:xfrm>
                    <a:prstGeom prst="rect">
                      <a:avLst/>
                    </a:prstGeom>
                    <a:noFill/>
                    <a:ln w="9525">
                      <a:noFill/>
                    </a:ln>
                  </pic:spPr>
                </pic:pic>
              </a:graphicData>
            </a:graphic>
          </wp:inline>
        </w:drawing>
      </w:r>
    </w:p>
    <w:p>
      <w:pPr>
        <w:pStyle w:val="13"/>
        <w:widowControl/>
        <w:shd w:val="clear" w:color="auto" w:fill="FFFFFF"/>
        <w:adjustRightInd w:val="0"/>
        <w:snapToGrid w:val="0"/>
        <w:spacing w:beforeAutospacing="0" w:afterAutospacing="0" w:line="360" w:lineRule="auto"/>
        <w:jc w:val="center"/>
        <w:rPr>
          <w:rFonts w:ascii="宋体" w:hAnsi="宋体" w:cstheme="minorBidi"/>
          <w:b/>
          <w:kern w:val="2"/>
          <w:sz w:val="21"/>
          <w:szCs w:val="21"/>
        </w:rPr>
      </w:pPr>
      <w:r>
        <w:rPr>
          <w:rFonts w:hint="eastAsia" w:ascii="宋体" w:hAnsi="宋体" w:cstheme="minorBidi"/>
          <w:b/>
          <w:kern w:val="2"/>
          <w:sz w:val="21"/>
          <w:szCs w:val="21"/>
        </w:rPr>
        <w:t xml:space="preserve">图3-17 </w:t>
      </w:r>
      <w:r>
        <w:rPr>
          <w:rFonts w:ascii="宋体" w:hAnsi="宋体" w:cstheme="minorBidi"/>
          <w:b/>
          <w:kern w:val="2"/>
          <w:sz w:val="21"/>
          <w:szCs w:val="21"/>
        </w:rPr>
        <w:t>何志学</w:t>
      </w:r>
      <w:r>
        <w:rPr>
          <w:rFonts w:hint="eastAsia" w:ascii="宋体" w:hAnsi="宋体" w:cstheme="minorBidi"/>
          <w:b/>
          <w:kern w:val="2"/>
          <w:sz w:val="21"/>
          <w:szCs w:val="21"/>
        </w:rPr>
        <w:t>与</w:t>
      </w:r>
      <w:r>
        <w:rPr>
          <w:rFonts w:ascii="宋体" w:hAnsi="宋体" w:cstheme="minorBidi"/>
          <w:b/>
          <w:kern w:val="2"/>
          <w:sz w:val="21"/>
          <w:szCs w:val="21"/>
        </w:rPr>
        <w:t>卢益辉</w:t>
      </w:r>
      <w:r>
        <w:rPr>
          <w:rFonts w:hint="eastAsia" w:ascii="宋体" w:hAnsi="宋体" w:cstheme="minorBidi"/>
          <w:b/>
          <w:kern w:val="2"/>
          <w:sz w:val="21"/>
          <w:szCs w:val="21"/>
        </w:rPr>
        <w:t>在工作岗位上</w:t>
      </w:r>
    </w:p>
    <w:p>
      <w:pPr>
        <w:pStyle w:val="4"/>
        <w:spacing w:before="156" w:after="156"/>
        <w:ind w:firstLine="0" w:firstLineChars="0"/>
        <w:rPr>
          <w:color w:val="auto"/>
        </w:rPr>
      </w:pPr>
      <w:bookmarkStart w:id="124" w:name="_Toc1760"/>
      <w:bookmarkStart w:id="125" w:name="_Toc7557"/>
      <w:r>
        <w:rPr>
          <w:rFonts w:hint="eastAsia"/>
          <w:color w:val="auto"/>
        </w:rPr>
        <w:t>【典型案例19】校企共建学院 学生上课即上班</w:t>
      </w:r>
      <w:bookmarkEnd w:id="124"/>
      <w:bookmarkEnd w:id="125"/>
    </w:p>
    <w:p>
      <w:pPr>
        <w:pStyle w:val="13"/>
        <w:widowControl/>
        <w:adjustRightInd w:val="0"/>
        <w:snapToGrid w:val="0"/>
        <w:spacing w:beforeAutospacing="0" w:afterAutospacing="0" w:line="360" w:lineRule="auto"/>
        <w:ind w:firstLine="480" w:firstLineChars="200"/>
        <w:jc w:val="both"/>
        <w:rPr>
          <w:rFonts w:ascii="仿宋_GB2312" w:hAnsi="宋体" w:eastAsia="仿宋_GB2312"/>
          <w:color w:val="3366FF"/>
          <w:szCs w:val="22"/>
        </w:rPr>
      </w:pPr>
      <w:r>
        <w:rPr>
          <w:rFonts w:hint="eastAsia" w:ascii="仿宋_GB2312" w:hAnsi="宋体" w:eastAsia="仿宋_GB2312"/>
          <w:color w:val="3366FF"/>
          <w:szCs w:val="22"/>
        </w:rPr>
        <w:t>学院化妆品技术专业瞄准产业需求，从校企共建企业课程、“组合式订单培养班”、生产性实训基地等多样化、多层次校企合作，到试点成立梦采化妆品学院，探索混合所有制特色二级学院的建设，走出了一条职业教育服务湖南现代产业、促进产教融合的特色发展之路。四年以来，先后与湖南盛世国际有限公司等8家企业签订了订单培养/组合式订单培养协议，订单培养的学生占专业总人数的百分比50%。2017年，为进一步深化校企合作、产教融合，化妆品技术专业与广州梦采集团签订合作框架协议，共建梦采化妆品学院，形成校企共同育人载体，探索混合制二级学院育人新模式，人才培养与需求无缝对接 ，实现校企双赢。在梦采化妆品学院成熟的生产线上，学生们在不同的岗位上工作，产品在此生成并包装，学生还参与营销，成为时下流行的微商，真的是上课即上班，学生、员工合二为一。</w:t>
      </w:r>
    </w:p>
    <w:p>
      <w:pPr>
        <w:adjustRightInd w:val="0"/>
        <w:snapToGrid w:val="0"/>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4452620" cy="2484755"/>
            <wp:effectExtent l="0" t="0" r="5080" b="10795"/>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57"/>
                    <a:stretch>
                      <a:fillRect/>
                    </a:stretch>
                  </pic:blipFill>
                  <pic:spPr>
                    <a:xfrm>
                      <a:off x="0" y="0"/>
                      <a:ext cx="4452620" cy="2484755"/>
                    </a:xfrm>
                    <a:prstGeom prst="rect">
                      <a:avLst/>
                    </a:prstGeom>
                    <a:noFill/>
                    <a:ln w="9525">
                      <a:noFill/>
                    </a:ln>
                  </pic:spPr>
                </pic:pic>
              </a:graphicData>
            </a:graphic>
          </wp:inline>
        </w:drawing>
      </w:r>
    </w:p>
    <w:p>
      <w:pPr>
        <w:adjustRightInd w:val="0"/>
        <w:snapToGrid w:val="0"/>
        <w:spacing w:line="360" w:lineRule="auto"/>
        <w:jc w:val="center"/>
        <w:rPr>
          <w:rFonts w:ascii="宋体" w:hAnsi="宋体"/>
          <w:b/>
          <w:szCs w:val="21"/>
        </w:rPr>
      </w:pPr>
      <w:r>
        <w:rPr>
          <w:rFonts w:hint="eastAsia" w:ascii="宋体" w:hAnsi="宋体"/>
          <w:b/>
          <w:szCs w:val="21"/>
        </w:rPr>
        <w:t>图3-18 化妆品技术专业学生正在校内工厂生产线上实习</w:t>
      </w:r>
    </w:p>
    <w:p>
      <w:pPr>
        <w:pStyle w:val="4"/>
        <w:spacing w:before="156" w:after="156"/>
        <w:ind w:firstLine="562"/>
        <w:rPr>
          <w:color w:val="000000" w:themeColor="text1"/>
        </w:rPr>
      </w:pPr>
      <w:bookmarkStart w:id="126" w:name="_Toc32514"/>
      <w:bookmarkStart w:id="127" w:name="_Toc19789"/>
      <w:r>
        <w:rPr>
          <w:rFonts w:hint="eastAsia"/>
          <w:color w:val="000000" w:themeColor="text1"/>
        </w:rPr>
        <w:t>（3）以校友会为平台，为学院内涵发展添砖加瓦</w:t>
      </w:r>
      <w:bookmarkEnd w:id="126"/>
      <w:bookmarkEnd w:id="127"/>
    </w:p>
    <w:p>
      <w:pPr>
        <w:widowControl/>
        <w:shd w:val="clear" w:color="auto" w:fill="FFFFFF"/>
        <w:spacing w:line="360" w:lineRule="auto"/>
        <w:ind w:firstLine="480" w:firstLineChars="200"/>
        <w:jc w:val="left"/>
        <w:rPr>
          <w:rFonts w:ascii="宋体" w:hAnsi="宋体"/>
          <w:sz w:val="24"/>
        </w:rPr>
      </w:pPr>
      <w:r>
        <w:rPr>
          <w:rFonts w:hint="eastAsia" w:ascii="宋体" w:hAnsi="宋体"/>
          <w:sz w:val="24"/>
        </w:rPr>
        <w:t>优秀校友是学院办学质量的重要标志，是学院最生动的“品牌”形象，更是学院办学的宝贵资源。学院以校友会为平台，在校友中广泛开展关注母校发展、支持母校建设的一系列活动，倡导校友为母校建设献计献策，积极向母校提供人才培养与合作信息，为母校与地方、企业、科研院所建立合作关系牵线搭桥，大家正纷纷用实际行动回报母校。</w:t>
      </w:r>
    </w:p>
    <w:p>
      <w:pPr>
        <w:pStyle w:val="4"/>
        <w:spacing w:before="156" w:after="156"/>
        <w:ind w:firstLine="0" w:firstLineChars="0"/>
        <w:rPr>
          <w:color w:val="auto"/>
        </w:rPr>
      </w:pPr>
      <w:bookmarkStart w:id="128" w:name="_Toc30989"/>
      <w:bookmarkStart w:id="129" w:name="_Toc17631"/>
      <w:r>
        <w:rPr>
          <w:rFonts w:hint="eastAsia"/>
          <w:color w:val="auto"/>
        </w:rPr>
        <w:t>【典型案例20】回母校办自己的化妆品工厂</w:t>
      </w:r>
      <w:bookmarkEnd w:id="128"/>
      <w:bookmarkEnd w:id="129"/>
    </w:p>
    <w:p>
      <w:pPr>
        <w:adjustRightInd w:val="0"/>
        <w:snapToGrid w:val="0"/>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学院2008级精细化学品生产技术专业校友肖满军根据所学专业知识，毕业后和同学杨鹏一起创业，创办了一家化妆品生产公司，经过几年的快速发展，公司规模不断扩大，万宁、屈臣氏、沃尔玛等国际大公司相继成为合作单位。2017年5月，杨鹏、肖满军与母校签订合作协议，投资数百万，由校方提供场地、基础设备，企业投入资金、生产性设备，在校内成立颜如玉生物科技股份有限公司，除正常生产运行外，还是化妆品专业校内生产性实训基地，真正实现了校企协同培养人才。</w:t>
      </w:r>
    </w:p>
    <w:p>
      <w:pPr>
        <w:adjustRightInd w:val="0"/>
        <w:snapToGrid w:val="0"/>
        <w:spacing w:line="360" w:lineRule="auto"/>
        <w:jc w:val="center"/>
        <w:rPr>
          <w:rFonts w:ascii="仿宋_GB2312" w:hAnsi="宋体" w:eastAsia="仿宋_GB2312"/>
          <w:color w:val="3366FF"/>
          <w:sz w:val="24"/>
        </w:rPr>
      </w:pPr>
      <w:r>
        <w:rPr>
          <w:rFonts w:ascii="宋体" w:hAnsi="宋体" w:cs="宋体"/>
          <w:color w:val="000000"/>
          <w:kern w:val="0"/>
          <w:sz w:val="18"/>
          <w:szCs w:val="18"/>
        </w:rPr>
        <w:drawing>
          <wp:inline distT="0" distB="0" distL="114300" distR="114300">
            <wp:extent cx="4119880" cy="2563495"/>
            <wp:effectExtent l="0" t="0" r="13970" b="8255"/>
            <wp:docPr id="21" name="图片 4" descr="4712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47120.jpg"/>
                    <pic:cNvPicPr>
                      <a:picLocks noChangeAspect="1"/>
                    </pic:cNvPicPr>
                  </pic:nvPicPr>
                  <pic:blipFill>
                    <a:blip r:embed="rId59"/>
                    <a:stretch>
                      <a:fillRect/>
                    </a:stretch>
                  </pic:blipFill>
                  <pic:spPr>
                    <a:xfrm>
                      <a:off x="0" y="0"/>
                      <a:ext cx="4119880" cy="2563495"/>
                    </a:xfrm>
                    <a:prstGeom prst="rect">
                      <a:avLst/>
                    </a:prstGeom>
                    <a:noFill/>
                    <a:ln w="9525">
                      <a:noFill/>
                    </a:ln>
                  </pic:spPr>
                </pic:pic>
              </a:graphicData>
            </a:graphic>
          </wp:inline>
        </w:drawing>
      </w:r>
    </w:p>
    <w:p>
      <w:pPr>
        <w:jc w:val="center"/>
        <w:rPr>
          <w:rFonts w:ascii="宋体" w:hAnsi="宋体"/>
          <w:b/>
          <w:szCs w:val="21"/>
        </w:rPr>
      </w:pPr>
      <w:r>
        <w:rPr>
          <w:rFonts w:hint="eastAsia" w:ascii="宋体" w:hAnsi="宋体"/>
          <w:b/>
          <w:szCs w:val="21"/>
        </w:rPr>
        <w:t>图3-19 省教育厅应若平副厅长、学院领导、公司代表为颜如玉公司揭牌</w:t>
      </w:r>
    </w:p>
    <w:p>
      <w:pPr>
        <w:pStyle w:val="3"/>
      </w:pPr>
      <w:bookmarkStart w:id="130" w:name="_Toc24754"/>
      <w:bookmarkStart w:id="131" w:name="_Toc23469"/>
      <w:r>
        <w:rPr>
          <w:rFonts w:hint="eastAsia"/>
        </w:rPr>
        <w:t>3.7 课程（教学资源）建设</w:t>
      </w:r>
      <w:bookmarkEnd w:id="130"/>
      <w:bookmarkEnd w:id="131"/>
    </w:p>
    <w:p>
      <w:pPr>
        <w:pStyle w:val="4"/>
        <w:spacing w:before="156" w:after="156"/>
        <w:ind w:firstLine="562"/>
        <w:rPr>
          <w:color w:val="000000" w:themeColor="text1"/>
        </w:rPr>
      </w:pPr>
      <w:bookmarkStart w:id="132" w:name="_Toc21639"/>
      <w:bookmarkStart w:id="133" w:name="_Toc17536"/>
      <w:r>
        <w:rPr>
          <w:rFonts w:hint="eastAsia"/>
          <w:color w:val="000000" w:themeColor="text1"/>
        </w:rPr>
        <w:t>（1）专业群课程体系建设取得明显进展</w:t>
      </w:r>
      <w:bookmarkEnd w:id="132"/>
      <w:bookmarkEnd w:id="133"/>
    </w:p>
    <w:p>
      <w:pPr>
        <w:snapToGrid w:val="0"/>
        <w:spacing w:line="396" w:lineRule="auto"/>
        <w:ind w:firstLine="480" w:firstLineChars="200"/>
        <w:rPr>
          <w:rFonts w:ascii="宋体" w:hAnsi="宋体"/>
          <w:sz w:val="24"/>
        </w:rPr>
      </w:pPr>
      <w:r>
        <w:rPr>
          <w:rFonts w:hint="eastAsia" w:ascii="宋体" w:hAnsi="宋体"/>
          <w:sz w:val="24"/>
        </w:rPr>
        <w:t>依据省级卓越校建设要求和《湖南化工职业技术学院特色专业体系建设三年规划（2017—2019年）》，2017年，学院每个专业群重按照“底层共享、中层分立、拓展互选”的建设理念构专业群课程体系，共整合、改造课程143门，专业群内三类课程建设取得明显进展（见表3-1），初步形成了集基础能力、专项能力与拓展能力培养于一体的专业群课程体系。同时，通过以专业群为单位对课程实施整合、改造，学院计开设课程总数由2016年的847门下降到2017年的664门，进一步提升了课程建设的有效性。</w:t>
      </w:r>
    </w:p>
    <w:p>
      <w:pPr>
        <w:spacing w:line="360" w:lineRule="auto"/>
        <w:jc w:val="center"/>
        <w:rPr>
          <w:rFonts w:ascii="宋体" w:hAnsi="宋体"/>
          <w:b/>
          <w:szCs w:val="21"/>
        </w:rPr>
      </w:pPr>
      <w:r>
        <w:rPr>
          <w:rFonts w:hint="eastAsia" w:ascii="宋体" w:hAnsi="宋体"/>
          <w:b/>
          <w:szCs w:val="21"/>
        </w:rPr>
        <w:t>表3-2学院专业群课程体系建设情况</w:t>
      </w:r>
    </w:p>
    <w:tbl>
      <w:tblPr>
        <w:tblStyle w:val="18"/>
        <w:tblW w:w="85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0"/>
        <w:gridCol w:w="1716"/>
        <w:gridCol w:w="1788"/>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3300" w:type="dxa"/>
            <w:tcBorders>
              <w:bottom w:val="single" w:color="auto" w:sz="4" w:space="0"/>
            </w:tcBorders>
            <w:shd w:val="clear" w:color="auto" w:fill="FF6600"/>
            <w:vAlign w:val="center"/>
          </w:tcPr>
          <w:p>
            <w:pPr>
              <w:adjustRightInd w:val="0"/>
              <w:snapToGrid w:val="0"/>
              <w:jc w:val="center"/>
              <w:rPr>
                <w:rFonts w:ascii="宋体" w:hAnsi="宋体"/>
                <w:b/>
                <w:sz w:val="24"/>
              </w:rPr>
            </w:pPr>
            <w:r>
              <w:rPr>
                <w:rFonts w:hint="eastAsia" w:asciiTheme="minorEastAsia" w:hAnsiTheme="minorEastAsia" w:cstheme="minorEastAsia"/>
                <w:b/>
                <w:bCs/>
                <w:szCs w:val="21"/>
              </w:rPr>
              <w:t>课程类别</w:t>
            </w:r>
          </w:p>
        </w:tc>
        <w:tc>
          <w:tcPr>
            <w:tcW w:w="1716" w:type="dxa"/>
            <w:tcBorders>
              <w:bottom w:val="single" w:color="auto" w:sz="4" w:space="0"/>
            </w:tcBorders>
            <w:shd w:val="clear" w:color="auto" w:fill="FF6600"/>
            <w:vAlign w:val="center"/>
          </w:tcPr>
          <w:p>
            <w:pPr>
              <w:adjustRightInd w:val="0"/>
              <w:snapToGrid w:val="0"/>
              <w:jc w:val="center"/>
              <w:rPr>
                <w:rFonts w:ascii="宋体" w:hAnsi="宋体"/>
                <w:b/>
                <w:sz w:val="24"/>
              </w:rPr>
            </w:pPr>
            <w:r>
              <w:rPr>
                <w:rFonts w:hint="eastAsia" w:asciiTheme="minorEastAsia" w:hAnsiTheme="minorEastAsia" w:cstheme="minorEastAsia"/>
                <w:b/>
                <w:bCs/>
                <w:szCs w:val="21"/>
              </w:rPr>
              <w:t>共享专业课程</w:t>
            </w:r>
          </w:p>
        </w:tc>
        <w:tc>
          <w:tcPr>
            <w:tcW w:w="1788" w:type="dxa"/>
            <w:tcBorders>
              <w:bottom w:val="single" w:color="auto" w:sz="4" w:space="0"/>
            </w:tcBorders>
            <w:shd w:val="clear" w:color="auto" w:fill="FF6600"/>
            <w:vAlign w:val="center"/>
          </w:tcPr>
          <w:p>
            <w:pPr>
              <w:adjustRightInd w:val="0"/>
              <w:snapToGrid w:val="0"/>
              <w:jc w:val="center"/>
              <w:rPr>
                <w:rFonts w:ascii="宋体" w:hAnsi="宋体"/>
                <w:b/>
                <w:sz w:val="24"/>
              </w:rPr>
            </w:pPr>
            <w:r>
              <w:rPr>
                <w:rFonts w:hint="eastAsia" w:asciiTheme="minorEastAsia" w:hAnsiTheme="minorEastAsia" w:cstheme="minorEastAsia"/>
                <w:b/>
                <w:bCs/>
                <w:szCs w:val="21"/>
              </w:rPr>
              <w:t>专业方向课程</w:t>
            </w:r>
          </w:p>
        </w:tc>
        <w:tc>
          <w:tcPr>
            <w:tcW w:w="1733" w:type="dxa"/>
            <w:tcBorders>
              <w:bottom w:val="single" w:color="auto" w:sz="4" w:space="0"/>
            </w:tcBorders>
            <w:shd w:val="clear" w:color="auto" w:fill="FF6600"/>
            <w:vAlign w:val="center"/>
          </w:tcPr>
          <w:p>
            <w:pPr>
              <w:adjustRightInd w:val="0"/>
              <w:snapToGrid w:val="0"/>
              <w:jc w:val="center"/>
              <w:rPr>
                <w:rFonts w:ascii="宋体" w:hAnsi="宋体"/>
                <w:b/>
                <w:sz w:val="24"/>
              </w:rPr>
            </w:pPr>
            <w:r>
              <w:rPr>
                <w:rFonts w:hint="eastAsia" w:asciiTheme="minorEastAsia" w:hAnsiTheme="minorEastAsia" w:cstheme="minorEastAsia"/>
                <w:b/>
                <w:bCs/>
                <w:szCs w:val="21"/>
              </w:rPr>
              <w:t>拓展课程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3300"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color w:val="000000"/>
                <w:kern w:val="0"/>
                <w:szCs w:val="21"/>
              </w:rPr>
              <w:t>化工生产技术专业群</w:t>
            </w:r>
          </w:p>
        </w:tc>
        <w:tc>
          <w:tcPr>
            <w:tcW w:w="1716"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8</w:t>
            </w:r>
          </w:p>
        </w:tc>
        <w:tc>
          <w:tcPr>
            <w:tcW w:w="1788"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18</w:t>
            </w:r>
          </w:p>
        </w:tc>
        <w:tc>
          <w:tcPr>
            <w:tcW w:w="1733"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3300"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color w:val="000000"/>
                <w:kern w:val="0"/>
                <w:szCs w:val="21"/>
              </w:rPr>
              <w:t>化学与生物制药技术专业群</w:t>
            </w:r>
          </w:p>
        </w:tc>
        <w:tc>
          <w:tcPr>
            <w:tcW w:w="1716"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8</w:t>
            </w:r>
          </w:p>
        </w:tc>
        <w:tc>
          <w:tcPr>
            <w:tcW w:w="1788"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15</w:t>
            </w:r>
          </w:p>
        </w:tc>
        <w:tc>
          <w:tcPr>
            <w:tcW w:w="1733"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3300"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color w:val="000000"/>
                <w:kern w:val="0"/>
                <w:szCs w:val="21"/>
              </w:rPr>
              <w:t>化工自动化技术专业群</w:t>
            </w:r>
          </w:p>
        </w:tc>
        <w:tc>
          <w:tcPr>
            <w:tcW w:w="1716"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6</w:t>
            </w:r>
          </w:p>
        </w:tc>
        <w:tc>
          <w:tcPr>
            <w:tcW w:w="1788"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18</w:t>
            </w:r>
          </w:p>
        </w:tc>
        <w:tc>
          <w:tcPr>
            <w:tcW w:w="1733"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3300"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化工装备制造技术</w:t>
            </w:r>
          </w:p>
        </w:tc>
        <w:tc>
          <w:tcPr>
            <w:tcW w:w="1716"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6</w:t>
            </w:r>
          </w:p>
        </w:tc>
        <w:tc>
          <w:tcPr>
            <w:tcW w:w="1788"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15</w:t>
            </w:r>
          </w:p>
        </w:tc>
        <w:tc>
          <w:tcPr>
            <w:tcW w:w="1733"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3300"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color w:val="000000"/>
                <w:kern w:val="0"/>
                <w:szCs w:val="21"/>
              </w:rPr>
              <w:t>化工生产运营与管理专业群</w:t>
            </w:r>
          </w:p>
        </w:tc>
        <w:tc>
          <w:tcPr>
            <w:tcW w:w="1716"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6</w:t>
            </w:r>
          </w:p>
        </w:tc>
        <w:tc>
          <w:tcPr>
            <w:tcW w:w="1788"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18</w:t>
            </w:r>
          </w:p>
        </w:tc>
        <w:tc>
          <w:tcPr>
            <w:tcW w:w="1733"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3300"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b/>
                <w:bCs/>
                <w:color w:val="000000"/>
                <w:kern w:val="0"/>
                <w:szCs w:val="21"/>
              </w:rPr>
              <w:t>合计</w:t>
            </w:r>
          </w:p>
        </w:tc>
        <w:tc>
          <w:tcPr>
            <w:tcW w:w="1716"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b/>
                <w:bCs/>
                <w:szCs w:val="21"/>
              </w:rPr>
              <w:t>36</w:t>
            </w:r>
          </w:p>
        </w:tc>
        <w:tc>
          <w:tcPr>
            <w:tcW w:w="1788"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b/>
                <w:bCs/>
                <w:szCs w:val="21"/>
              </w:rPr>
              <w:t>84</w:t>
            </w:r>
          </w:p>
        </w:tc>
        <w:tc>
          <w:tcPr>
            <w:tcW w:w="1733" w:type="dxa"/>
            <w:shd w:val="clear" w:color="auto" w:fill="CCFFFF"/>
            <w:vAlign w:val="center"/>
          </w:tcPr>
          <w:p>
            <w:pPr>
              <w:adjustRightInd w:val="0"/>
              <w:snapToGrid w:val="0"/>
              <w:jc w:val="center"/>
              <w:rPr>
                <w:rFonts w:ascii="宋体" w:hAnsi="宋体"/>
                <w:sz w:val="24"/>
              </w:rPr>
            </w:pPr>
            <w:r>
              <w:rPr>
                <w:rFonts w:hint="eastAsia" w:asciiTheme="minorEastAsia" w:hAnsiTheme="minorEastAsia" w:cstheme="minorEastAsia"/>
                <w:b/>
                <w:bCs/>
                <w:szCs w:val="21"/>
              </w:rPr>
              <w:t>75</w:t>
            </w:r>
          </w:p>
        </w:tc>
      </w:tr>
    </w:tbl>
    <w:p>
      <w:pPr>
        <w:spacing w:line="360" w:lineRule="auto"/>
        <w:jc w:val="right"/>
        <w:rPr>
          <w:rFonts w:ascii="宋体" w:hAnsi="宋体"/>
          <w:b/>
          <w:szCs w:val="21"/>
        </w:rPr>
      </w:pPr>
      <w:r>
        <w:rPr>
          <w:rFonts w:hint="eastAsia" w:ascii="宋体" w:hAnsi="宋体"/>
          <w:b/>
          <w:szCs w:val="21"/>
        </w:rPr>
        <w:t>数据来源：学院省级卓越高职院校建设项目2017年度建设数据（教务处）</w:t>
      </w:r>
    </w:p>
    <w:p>
      <w:pPr>
        <w:pStyle w:val="4"/>
        <w:spacing w:before="156" w:after="156"/>
        <w:ind w:firstLine="562"/>
        <w:rPr>
          <w:color w:val="000000" w:themeColor="text1"/>
        </w:rPr>
      </w:pPr>
      <w:bookmarkStart w:id="134" w:name="_Toc30315"/>
      <w:bookmarkStart w:id="135" w:name="_Toc3844"/>
      <w:r>
        <w:rPr>
          <w:rFonts w:hint="eastAsia"/>
          <w:color w:val="000000" w:themeColor="text1"/>
        </w:rPr>
        <w:t>（2）引入先进技术标准建设优质课程</w:t>
      </w:r>
      <w:bookmarkEnd w:id="134"/>
      <w:bookmarkEnd w:id="135"/>
    </w:p>
    <w:p>
      <w:pPr>
        <w:spacing w:line="360" w:lineRule="auto"/>
        <w:ind w:firstLine="480" w:firstLineChars="200"/>
        <w:rPr>
          <w:rFonts w:asciiTheme="minorEastAsia" w:hAnsiTheme="minorEastAsia" w:cstheme="minorEastAsia"/>
          <w:kern w:val="0"/>
          <w:sz w:val="24"/>
        </w:rPr>
      </w:pPr>
      <w:r>
        <w:rPr>
          <w:rFonts w:hint="eastAsia" w:asciiTheme="minorEastAsia" w:hAnsiTheme="minorEastAsia" w:cstheme="minorEastAsia"/>
          <w:kern w:val="0"/>
          <w:sz w:val="24"/>
          <w:lang w:val="zh-CN"/>
        </w:rPr>
        <w:t>跟踪行业新工艺、新技术，</w:t>
      </w:r>
      <w:r>
        <w:rPr>
          <w:rFonts w:hint="eastAsia" w:asciiTheme="minorEastAsia" w:hAnsiTheme="minorEastAsia" w:cstheme="minorEastAsia"/>
          <w:sz w:val="24"/>
        </w:rPr>
        <w:t>以工作过程为导向，以典型产品生产项目为载体，整合理论知识与实践技能，建设理实一体化的优质专业课程，并实现了动态更新教学内容、课程资源。2017年，学院引入国际先进职业标准5项、行业新工艺、新技术11项，建设了</w:t>
      </w:r>
      <w:r>
        <w:rPr>
          <w:rFonts w:hint="eastAsia" w:asciiTheme="minorEastAsia" w:hAnsiTheme="minorEastAsia" w:cstheme="minorEastAsia"/>
          <w:kern w:val="0"/>
          <w:sz w:val="24"/>
          <w:lang w:val="zh-CN"/>
        </w:rPr>
        <w:t>《甲醇生产技术》等</w:t>
      </w:r>
      <w:r>
        <w:rPr>
          <w:rFonts w:hint="eastAsia" w:asciiTheme="minorEastAsia" w:hAnsiTheme="minorEastAsia" w:cstheme="minorEastAsia"/>
          <w:kern w:val="0"/>
          <w:sz w:val="24"/>
        </w:rPr>
        <w:t>17门专业核心课程，建成了省级</w:t>
      </w:r>
      <w:r>
        <w:rPr>
          <w:rFonts w:hint="eastAsia" w:asciiTheme="minorEastAsia" w:hAnsiTheme="minorEastAsia" w:cstheme="minorEastAsia"/>
          <w:sz w:val="24"/>
        </w:rPr>
        <w:t>名师课堂</w:t>
      </w:r>
      <w:r>
        <w:rPr>
          <w:rFonts w:hint="eastAsia" w:asciiTheme="minorEastAsia" w:hAnsiTheme="minorEastAsia" w:cstheme="minorEastAsia"/>
          <w:kern w:val="0"/>
          <w:sz w:val="24"/>
        </w:rPr>
        <w:t>项目等省级以上优质课程31门。</w:t>
      </w:r>
    </w:p>
    <w:p>
      <w:pPr>
        <w:pStyle w:val="4"/>
        <w:spacing w:before="156" w:after="156"/>
        <w:ind w:firstLine="562"/>
        <w:rPr>
          <w:color w:val="000000" w:themeColor="text1"/>
        </w:rPr>
      </w:pPr>
      <w:bookmarkStart w:id="136" w:name="_Toc24449"/>
      <w:bookmarkStart w:id="137" w:name="_Toc14959"/>
      <w:r>
        <w:rPr>
          <w:rFonts w:hint="eastAsia"/>
          <w:color w:val="000000" w:themeColor="text1"/>
        </w:rPr>
        <w:t>（3）多方投入共建数字课程资源</w:t>
      </w:r>
      <w:bookmarkEnd w:id="136"/>
      <w:bookmarkEnd w:id="137"/>
    </w:p>
    <w:p>
      <w:pPr>
        <w:adjustRightInd w:val="0"/>
        <w:snapToGrid w:val="0"/>
        <w:spacing w:line="360" w:lineRule="auto"/>
        <w:ind w:firstLine="480" w:firstLineChars="200"/>
        <w:rPr>
          <w:rFonts w:ascii="宋体" w:hAnsi="宋体"/>
          <w:sz w:val="24"/>
        </w:rPr>
      </w:pPr>
      <w:r>
        <w:rPr>
          <w:rFonts w:hint="eastAsia" w:ascii="宋体" w:hAnsi="宋体"/>
          <w:sz w:val="24"/>
        </w:rPr>
        <w:t>组织一线骨干教师基于云平台在教学过程中，自主开发与应用精细化、情境化的空间课程和MOOC/MOOT（即慕课与立体化教材）与社区课程，增强课前课后学习指导的针对性和师生交互便捷性，实现线上线下相结合的课堂教学翻转；针对性开发与应用微课，激活课堂，化解教学难点、增强课堂吸引力并满足学习者随时随地学习需求；系统开发单元测试题库，促进课程学习中“学、练”结合和随时随机检测；打造基于云空间的化工仿真教学平台，创建集化工文化、知识推广与专业教学于一体的化工数字博物馆，解决化工现场实训难问题，实现“人人、处处、时时”开放训练。</w:t>
      </w:r>
    </w:p>
    <w:p>
      <w:pPr>
        <w:adjustRightInd w:val="0"/>
        <w:snapToGrid w:val="0"/>
        <w:spacing w:line="360" w:lineRule="auto"/>
        <w:ind w:firstLine="480" w:firstLineChars="200"/>
        <w:rPr>
          <w:rFonts w:ascii="宋体" w:hAnsi="宋体"/>
          <w:sz w:val="24"/>
        </w:rPr>
      </w:pPr>
      <w:r>
        <w:rPr>
          <w:rFonts w:hint="eastAsia" w:ascii="宋体" w:hAnsi="宋体"/>
          <w:sz w:val="24"/>
        </w:rPr>
        <w:t>截止2017年，学院开发与应用院级空间课程317门、社区课程23门、单元测试题库95门、微课600余个；建设省级网络名师课堂17门、创新应用示范空间12个、中职教师线上培训《信息化教学设计》系列微课17个，并创建了基于空间的化工仿真教学平台和化工数字博物馆。</w:t>
      </w:r>
    </w:p>
    <w:p>
      <w:pPr>
        <w:pStyle w:val="4"/>
        <w:spacing w:before="156" w:after="156"/>
        <w:ind w:firstLine="0" w:firstLineChars="0"/>
        <w:rPr>
          <w:color w:val="auto"/>
        </w:rPr>
      </w:pPr>
      <w:bookmarkStart w:id="138" w:name="_Toc2425"/>
      <w:bookmarkStart w:id="139" w:name="_Toc9005"/>
      <w:r>
        <w:rPr>
          <w:rFonts w:hint="eastAsia"/>
          <w:color w:val="auto"/>
        </w:rPr>
        <w:t>【典型案例21】学校与化学工业出版社合作开发数字</w:t>
      </w:r>
      <w:r>
        <w:rPr>
          <w:rFonts w:hint="eastAsia"/>
          <w:color w:val="auto"/>
          <w:lang w:eastAsia="zh-CN"/>
        </w:rPr>
        <w:t>课程</w:t>
      </w:r>
      <w:r>
        <w:rPr>
          <w:rFonts w:hint="eastAsia"/>
          <w:color w:val="auto"/>
        </w:rPr>
        <w:t>资源</w:t>
      </w:r>
      <w:bookmarkEnd w:id="138"/>
      <w:bookmarkEnd w:id="139"/>
    </w:p>
    <w:p>
      <w:pPr>
        <w:adjustRightInd w:val="0"/>
        <w:snapToGrid w:val="0"/>
        <w:spacing w:line="360" w:lineRule="auto"/>
        <w:ind w:firstLine="480" w:firstLineChars="200"/>
        <w:rPr>
          <w:rFonts w:ascii="仿宋_GB2312" w:hAnsi="宋体" w:eastAsia="仿宋_GB2312" w:cs="宋体"/>
          <w:color w:val="3366FF"/>
          <w:kern w:val="44"/>
          <w:sz w:val="24"/>
          <w:szCs w:val="48"/>
        </w:rPr>
      </w:pPr>
      <w:r>
        <w:rPr>
          <w:rFonts w:hint="eastAsia" w:ascii="仿宋_GB2312" w:hAnsi="宋体" w:eastAsia="仿宋_GB2312" w:cs="宋体"/>
          <w:color w:val="3366FF"/>
          <w:kern w:val="44"/>
          <w:sz w:val="24"/>
          <w:szCs w:val="48"/>
        </w:rPr>
        <w:t>为了积极响应新时代广大学习者生态化学习需求，丰富立体化教学资源，助推化工高等职业教育教学改革，11月底，学校与化学工业出版社签订了教材与数字资源建设项目合作协议，本着互利共赢的原则，发挥各自优势，组织骨干教师开发与出版发行一批优质的数字教学资源。经双方研究，确定了刘小忠副教授的《有机化学实验实训》等10门课程为首批合作开发课程资源项目（见表3-3）。</w:t>
      </w:r>
    </w:p>
    <w:p>
      <w:pPr>
        <w:spacing w:line="360" w:lineRule="auto"/>
        <w:jc w:val="center"/>
        <w:rPr>
          <w:rFonts w:ascii="宋体" w:hAnsi="宋体"/>
          <w:b/>
          <w:szCs w:val="21"/>
        </w:rPr>
      </w:pPr>
      <w:r>
        <w:rPr>
          <w:rFonts w:hint="eastAsia" w:ascii="宋体" w:hAnsi="宋体"/>
          <w:b/>
          <w:szCs w:val="21"/>
        </w:rPr>
        <w:br w:type="page"/>
      </w:r>
    </w:p>
    <w:p>
      <w:pPr>
        <w:spacing w:line="360" w:lineRule="auto"/>
        <w:jc w:val="center"/>
        <w:rPr>
          <w:rFonts w:ascii="宋体" w:hAnsi="宋体"/>
          <w:b/>
          <w:szCs w:val="21"/>
        </w:rPr>
      </w:pPr>
      <w:r>
        <w:rPr>
          <w:rFonts w:hint="eastAsia" w:ascii="宋体" w:hAnsi="宋体"/>
          <w:b/>
          <w:szCs w:val="21"/>
        </w:rPr>
        <w:t>表3-3 学院与化学工业出版社合作共建数字课程资源名单</w:t>
      </w:r>
    </w:p>
    <w:tbl>
      <w:tblPr>
        <w:tblStyle w:val="18"/>
        <w:tblW w:w="8601" w:type="dxa"/>
        <w:jc w:val="center"/>
        <w:tblInd w:w="0" w:type="dxa"/>
        <w:tblLayout w:type="fixed"/>
        <w:tblCellMar>
          <w:top w:w="0" w:type="dxa"/>
          <w:left w:w="108" w:type="dxa"/>
          <w:bottom w:w="0" w:type="dxa"/>
          <w:right w:w="108" w:type="dxa"/>
        </w:tblCellMar>
      </w:tblPr>
      <w:tblGrid>
        <w:gridCol w:w="1081"/>
        <w:gridCol w:w="1784"/>
        <w:gridCol w:w="2383"/>
        <w:gridCol w:w="1483"/>
        <w:gridCol w:w="1870"/>
      </w:tblGrid>
      <w:tr>
        <w:tblPrEx>
          <w:tblLayout w:type="fixed"/>
          <w:tblCellMar>
            <w:top w:w="0" w:type="dxa"/>
            <w:left w:w="108" w:type="dxa"/>
            <w:bottom w:w="0" w:type="dxa"/>
            <w:right w:w="108" w:type="dxa"/>
          </w:tblCellMar>
        </w:tblPrEx>
        <w:trPr>
          <w:trHeight w:val="285"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FF6600"/>
            <w:vAlign w:val="center"/>
          </w:tcPr>
          <w:p>
            <w:pPr>
              <w:widowControl/>
              <w:jc w:val="center"/>
              <w:rPr>
                <w:rFonts w:ascii="宋体" w:hAnsi="宋体"/>
                <w:b/>
                <w:color w:val="FFFFFF"/>
                <w:sz w:val="24"/>
              </w:rPr>
            </w:pPr>
            <w:r>
              <w:rPr>
                <w:rFonts w:hint="eastAsia" w:asciiTheme="minorEastAsia" w:hAnsiTheme="minorEastAsia" w:cstheme="minorEastAsia"/>
                <w:b/>
                <w:bCs/>
                <w:kern w:val="0"/>
                <w:szCs w:val="21"/>
              </w:rPr>
              <w:t>序号</w:t>
            </w:r>
          </w:p>
        </w:tc>
        <w:tc>
          <w:tcPr>
            <w:tcW w:w="1784" w:type="dxa"/>
            <w:tcBorders>
              <w:top w:val="single" w:color="auto" w:sz="4" w:space="0"/>
              <w:left w:val="nil"/>
              <w:bottom w:val="single" w:color="auto" w:sz="4" w:space="0"/>
              <w:right w:val="single" w:color="auto" w:sz="4" w:space="0"/>
            </w:tcBorders>
            <w:shd w:val="clear" w:color="auto" w:fill="FF6600"/>
            <w:vAlign w:val="center"/>
          </w:tcPr>
          <w:p>
            <w:pPr>
              <w:widowControl/>
              <w:jc w:val="center"/>
              <w:rPr>
                <w:rFonts w:ascii="宋体" w:hAnsi="宋体"/>
                <w:b/>
                <w:color w:val="FFFFFF"/>
                <w:sz w:val="24"/>
              </w:rPr>
            </w:pPr>
            <w:r>
              <w:rPr>
                <w:rFonts w:hint="eastAsia" w:asciiTheme="minorEastAsia" w:hAnsiTheme="minorEastAsia" w:cstheme="minorEastAsia"/>
                <w:b/>
                <w:bCs/>
                <w:kern w:val="0"/>
                <w:szCs w:val="21"/>
              </w:rPr>
              <w:t>承担单位</w:t>
            </w:r>
          </w:p>
        </w:tc>
        <w:tc>
          <w:tcPr>
            <w:tcW w:w="2383" w:type="dxa"/>
            <w:tcBorders>
              <w:top w:val="single" w:color="auto" w:sz="4" w:space="0"/>
              <w:left w:val="nil"/>
              <w:bottom w:val="single" w:color="auto" w:sz="4" w:space="0"/>
              <w:right w:val="single" w:color="auto" w:sz="4" w:space="0"/>
            </w:tcBorders>
            <w:shd w:val="clear" w:color="auto" w:fill="FF6600"/>
            <w:vAlign w:val="center"/>
          </w:tcPr>
          <w:p>
            <w:pPr>
              <w:widowControl/>
              <w:jc w:val="center"/>
              <w:rPr>
                <w:rFonts w:ascii="宋体" w:hAnsi="宋体"/>
                <w:b/>
                <w:color w:val="FFFFFF"/>
                <w:sz w:val="24"/>
              </w:rPr>
            </w:pPr>
            <w:r>
              <w:rPr>
                <w:rFonts w:hint="eastAsia" w:asciiTheme="minorEastAsia" w:hAnsiTheme="minorEastAsia" w:cstheme="minorEastAsia"/>
                <w:b/>
                <w:bCs/>
                <w:kern w:val="0"/>
                <w:szCs w:val="21"/>
              </w:rPr>
              <w:t>课程名称</w:t>
            </w:r>
          </w:p>
        </w:tc>
        <w:tc>
          <w:tcPr>
            <w:tcW w:w="1483" w:type="dxa"/>
            <w:tcBorders>
              <w:top w:val="single" w:color="auto" w:sz="4" w:space="0"/>
              <w:left w:val="nil"/>
              <w:bottom w:val="single" w:color="auto" w:sz="4" w:space="0"/>
              <w:right w:val="single" w:color="auto" w:sz="4" w:space="0"/>
            </w:tcBorders>
            <w:shd w:val="clear" w:color="auto" w:fill="FF6600"/>
            <w:vAlign w:val="center"/>
          </w:tcPr>
          <w:p>
            <w:pPr>
              <w:widowControl/>
              <w:jc w:val="center"/>
              <w:rPr>
                <w:rFonts w:asciiTheme="minorEastAsia" w:hAnsiTheme="minorEastAsia" w:cstheme="minorEastAsia"/>
                <w:b/>
                <w:bCs/>
                <w:kern w:val="0"/>
                <w:szCs w:val="21"/>
              </w:rPr>
            </w:pPr>
            <w:r>
              <w:rPr>
                <w:rFonts w:hint="eastAsia" w:asciiTheme="minorEastAsia" w:hAnsiTheme="minorEastAsia" w:cstheme="minorEastAsia"/>
                <w:b/>
                <w:bCs/>
                <w:kern w:val="0"/>
                <w:szCs w:val="21"/>
              </w:rPr>
              <w:t>主编及</w:t>
            </w:r>
          </w:p>
          <w:p>
            <w:pPr>
              <w:widowControl/>
              <w:jc w:val="center"/>
              <w:rPr>
                <w:rFonts w:ascii="宋体" w:hAnsi="宋体"/>
                <w:b/>
                <w:color w:val="FFFFFF"/>
                <w:sz w:val="24"/>
              </w:rPr>
            </w:pPr>
            <w:r>
              <w:rPr>
                <w:rFonts w:hint="eastAsia" w:asciiTheme="minorEastAsia" w:hAnsiTheme="minorEastAsia" w:cstheme="minorEastAsia"/>
                <w:b/>
                <w:bCs/>
                <w:kern w:val="0"/>
                <w:szCs w:val="21"/>
              </w:rPr>
              <w:t>联系方式</w:t>
            </w:r>
          </w:p>
        </w:tc>
        <w:tc>
          <w:tcPr>
            <w:tcW w:w="1870" w:type="dxa"/>
            <w:tcBorders>
              <w:top w:val="single" w:color="auto" w:sz="4" w:space="0"/>
              <w:left w:val="nil"/>
              <w:bottom w:val="single" w:color="auto" w:sz="4" w:space="0"/>
              <w:right w:val="single" w:color="auto" w:sz="4" w:space="0"/>
            </w:tcBorders>
            <w:shd w:val="clear" w:color="auto" w:fill="FF6600"/>
            <w:vAlign w:val="center"/>
          </w:tcPr>
          <w:p>
            <w:pPr>
              <w:widowControl/>
              <w:jc w:val="center"/>
              <w:rPr>
                <w:rFonts w:ascii="宋体" w:hAnsi="宋体"/>
                <w:b/>
                <w:color w:val="FFFFFF"/>
                <w:sz w:val="24"/>
              </w:rPr>
            </w:pPr>
            <w:r>
              <w:rPr>
                <w:rFonts w:hint="eastAsia" w:asciiTheme="minorEastAsia" w:hAnsiTheme="minorEastAsia" w:cstheme="minorEastAsia"/>
                <w:b/>
                <w:bCs/>
                <w:kern w:val="0"/>
                <w:szCs w:val="21"/>
              </w:rPr>
              <w:t>团队成员</w:t>
            </w:r>
          </w:p>
        </w:tc>
      </w:tr>
      <w:tr>
        <w:tblPrEx>
          <w:tblLayout w:type="fixed"/>
          <w:tblCellMar>
            <w:top w:w="0" w:type="dxa"/>
            <w:left w:w="108" w:type="dxa"/>
            <w:bottom w:w="0" w:type="dxa"/>
            <w:right w:w="108" w:type="dxa"/>
          </w:tblCellMar>
        </w:tblPrEx>
        <w:trPr>
          <w:trHeight w:val="454"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CCFFFF"/>
            <w:vAlign w:val="center"/>
          </w:tcPr>
          <w:p>
            <w:pPr>
              <w:widowControl/>
              <w:jc w:val="center"/>
              <w:rPr>
                <w:rFonts w:ascii="宋体" w:hAnsi="宋体" w:cs="宋体"/>
                <w:kern w:val="0"/>
                <w:sz w:val="24"/>
              </w:rPr>
            </w:pPr>
            <w:r>
              <w:rPr>
                <w:rFonts w:hint="eastAsia" w:asciiTheme="minorEastAsia" w:hAnsiTheme="minorEastAsia" w:cstheme="minorEastAsia"/>
                <w:kern w:val="0"/>
                <w:szCs w:val="21"/>
              </w:rPr>
              <w:t>1</w:t>
            </w:r>
          </w:p>
        </w:tc>
        <w:tc>
          <w:tcPr>
            <w:tcW w:w="1784"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化学工程学院</w:t>
            </w:r>
          </w:p>
        </w:tc>
        <w:tc>
          <w:tcPr>
            <w:tcW w:w="23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有机化学实验实训</w:t>
            </w:r>
          </w:p>
        </w:tc>
        <w:tc>
          <w:tcPr>
            <w:tcW w:w="14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刘小忠</w:t>
            </w:r>
          </w:p>
          <w:p>
            <w:pPr>
              <w:widowControl/>
              <w:jc w:val="center"/>
              <w:rPr>
                <w:rFonts w:ascii="宋体" w:hAnsi="宋体" w:cs="宋体"/>
                <w:sz w:val="24"/>
              </w:rPr>
            </w:pPr>
            <w:r>
              <w:rPr>
                <w:rFonts w:hint="eastAsia" w:asciiTheme="minorEastAsia" w:hAnsiTheme="minorEastAsia" w:cstheme="minorEastAsia"/>
                <w:kern w:val="0"/>
                <w:szCs w:val="21"/>
              </w:rPr>
              <w:t>13787334529</w:t>
            </w:r>
          </w:p>
        </w:tc>
        <w:tc>
          <w:tcPr>
            <w:tcW w:w="1870" w:type="dxa"/>
            <w:tcBorders>
              <w:top w:val="single" w:color="auto" w:sz="4" w:space="0"/>
              <w:left w:val="nil"/>
              <w:bottom w:val="single" w:color="auto" w:sz="4" w:space="0"/>
              <w:right w:val="single" w:color="auto" w:sz="4" w:space="0"/>
            </w:tcBorders>
            <w:shd w:val="clear" w:color="auto" w:fill="CCFFFF"/>
            <w:vAlign w:val="center"/>
          </w:tcPr>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兰立新彭展英</w:t>
            </w:r>
          </w:p>
          <w:p>
            <w:pPr>
              <w:widowControl/>
              <w:jc w:val="left"/>
              <w:rPr>
                <w:rFonts w:ascii="宋体" w:hAnsi="宋体" w:cs="宋体"/>
                <w:sz w:val="24"/>
              </w:rPr>
            </w:pPr>
            <w:r>
              <w:rPr>
                <w:rFonts w:hint="eastAsia" w:asciiTheme="minorEastAsia" w:hAnsiTheme="minorEastAsia" w:cstheme="minorEastAsia"/>
                <w:kern w:val="0"/>
                <w:szCs w:val="21"/>
              </w:rPr>
              <w:t>谭美蓉胡彩玲</w:t>
            </w:r>
          </w:p>
        </w:tc>
      </w:tr>
      <w:tr>
        <w:tblPrEx>
          <w:tblLayout w:type="fixed"/>
          <w:tblCellMar>
            <w:top w:w="0" w:type="dxa"/>
            <w:left w:w="108" w:type="dxa"/>
            <w:bottom w:w="0" w:type="dxa"/>
            <w:right w:w="108" w:type="dxa"/>
          </w:tblCellMar>
        </w:tblPrEx>
        <w:trPr>
          <w:trHeight w:val="454"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2</w:t>
            </w:r>
          </w:p>
        </w:tc>
        <w:tc>
          <w:tcPr>
            <w:tcW w:w="1784"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化学工程学院</w:t>
            </w:r>
          </w:p>
        </w:tc>
        <w:tc>
          <w:tcPr>
            <w:tcW w:w="23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无机化学实验实训</w:t>
            </w:r>
          </w:p>
        </w:tc>
        <w:tc>
          <w:tcPr>
            <w:tcW w:w="14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陈朝晖</w:t>
            </w:r>
          </w:p>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13786337849</w:t>
            </w:r>
          </w:p>
        </w:tc>
        <w:tc>
          <w:tcPr>
            <w:tcW w:w="1870" w:type="dxa"/>
            <w:tcBorders>
              <w:top w:val="single" w:color="auto" w:sz="4" w:space="0"/>
              <w:left w:val="nil"/>
              <w:bottom w:val="single" w:color="auto" w:sz="4" w:space="0"/>
              <w:right w:val="single" w:color="auto" w:sz="4" w:space="0"/>
            </w:tcBorders>
            <w:shd w:val="clear" w:color="auto" w:fill="CCFFFF"/>
            <w:vAlign w:val="center"/>
          </w:tcPr>
          <w:p>
            <w:pPr>
              <w:widowControl/>
              <w:jc w:val="left"/>
              <w:rPr>
                <w:rFonts w:asciiTheme="minorEastAsia" w:hAnsiTheme="minorEastAsia" w:cstheme="minorEastAsia"/>
                <w:kern w:val="0"/>
                <w:szCs w:val="21"/>
              </w:rPr>
            </w:pPr>
          </w:p>
        </w:tc>
      </w:tr>
      <w:tr>
        <w:tblPrEx>
          <w:tblLayout w:type="fixed"/>
          <w:tblCellMar>
            <w:top w:w="0" w:type="dxa"/>
            <w:left w:w="108" w:type="dxa"/>
            <w:bottom w:w="0" w:type="dxa"/>
            <w:right w:w="108" w:type="dxa"/>
          </w:tblCellMar>
        </w:tblPrEx>
        <w:trPr>
          <w:trHeight w:val="454"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CCFFFF"/>
            <w:vAlign w:val="center"/>
          </w:tcPr>
          <w:p>
            <w:pPr>
              <w:widowControl/>
              <w:jc w:val="center"/>
              <w:rPr>
                <w:rFonts w:ascii="宋体" w:hAnsi="宋体" w:cs="宋体"/>
                <w:kern w:val="0"/>
                <w:sz w:val="24"/>
              </w:rPr>
            </w:pPr>
            <w:r>
              <w:rPr>
                <w:rFonts w:hint="eastAsia" w:asciiTheme="minorEastAsia" w:hAnsiTheme="minorEastAsia" w:cstheme="minorEastAsia"/>
                <w:kern w:val="0"/>
                <w:szCs w:val="21"/>
              </w:rPr>
              <w:t>3</w:t>
            </w:r>
          </w:p>
        </w:tc>
        <w:tc>
          <w:tcPr>
            <w:tcW w:w="1784"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化学工程学院</w:t>
            </w:r>
          </w:p>
        </w:tc>
        <w:tc>
          <w:tcPr>
            <w:tcW w:w="23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无机化工生产技术与操作</w:t>
            </w:r>
          </w:p>
        </w:tc>
        <w:tc>
          <w:tcPr>
            <w:tcW w:w="14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颜鑫</w:t>
            </w:r>
          </w:p>
          <w:p>
            <w:pPr>
              <w:widowControl/>
              <w:jc w:val="center"/>
              <w:rPr>
                <w:rFonts w:ascii="宋体" w:hAnsi="宋体" w:cs="宋体"/>
                <w:sz w:val="24"/>
              </w:rPr>
            </w:pPr>
            <w:r>
              <w:rPr>
                <w:rFonts w:hint="eastAsia" w:asciiTheme="minorEastAsia" w:hAnsiTheme="minorEastAsia" w:cstheme="minorEastAsia"/>
                <w:kern w:val="0"/>
                <w:szCs w:val="21"/>
              </w:rPr>
              <w:t>13874129365</w:t>
            </w:r>
          </w:p>
        </w:tc>
        <w:tc>
          <w:tcPr>
            <w:tcW w:w="1870" w:type="dxa"/>
            <w:tcBorders>
              <w:top w:val="single" w:color="auto" w:sz="4" w:space="0"/>
              <w:left w:val="nil"/>
              <w:bottom w:val="single" w:color="auto" w:sz="4" w:space="0"/>
              <w:right w:val="single" w:color="auto" w:sz="4" w:space="0"/>
            </w:tcBorders>
            <w:shd w:val="clear" w:color="auto" w:fill="CCFFFF"/>
            <w:vAlign w:val="center"/>
          </w:tcPr>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王罗强周国娥</w:t>
            </w:r>
          </w:p>
          <w:p>
            <w:pPr>
              <w:widowControl/>
              <w:jc w:val="left"/>
              <w:rPr>
                <w:rFonts w:ascii="宋体" w:hAnsi="宋体" w:cs="宋体"/>
                <w:sz w:val="24"/>
              </w:rPr>
            </w:pPr>
            <w:r>
              <w:rPr>
                <w:rFonts w:hint="eastAsia" w:asciiTheme="minorEastAsia" w:hAnsiTheme="minorEastAsia" w:cstheme="minorEastAsia"/>
                <w:kern w:val="0"/>
                <w:szCs w:val="21"/>
              </w:rPr>
              <w:t>钟岩亮</w:t>
            </w:r>
          </w:p>
        </w:tc>
      </w:tr>
      <w:tr>
        <w:tblPrEx>
          <w:tblLayout w:type="fixed"/>
          <w:tblCellMar>
            <w:top w:w="0" w:type="dxa"/>
            <w:left w:w="108" w:type="dxa"/>
            <w:bottom w:w="0" w:type="dxa"/>
            <w:right w:w="108" w:type="dxa"/>
          </w:tblCellMar>
        </w:tblPrEx>
        <w:trPr>
          <w:trHeight w:val="454"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CCFFFF"/>
            <w:vAlign w:val="center"/>
          </w:tcPr>
          <w:p>
            <w:pPr>
              <w:widowControl/>
              <w:jc w:val="center"/>
              <w:rPr>
                <w:rFonts w:ascii="宋体" w:hAnsi="宋体" w:cs="宋体"/>
                <w:kern w:val="0"/>
                <w:sz w:val="24"/>
              </w:rPr>
            </w:pPr>
            <w:r>
              <w:rPr>
                <w:rFonts w:hint="eastAsia" w:asciiTheme="minorEastAsia" w:hAnsiTheme="minorEastAsia" w:cstheme="minorEastAsia"/>
                <w:kern w:val="0"/>
                <w:szCs w:val="21"/>
              </w:rPr>
              <w:t>4</w:t>
            </w:r>
          </w:p>
        </w:tc>
        <w:tc>
          <w:tcPr>
            <w:tcW w:w="1784"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化学工程学院</w:t>
            </w:r>
          </w:p>
        </w:tc>
        <w:tc>
          <w:tcPr>
            <w:tcW w:w="23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化妆品原料与配方</w:t>
            </w:r>
          </w:p>
        </w:tc>
        <w:tc>
          <w:tcPr>
            <w:tcW w:w="14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张翔</w:t>
            </w:r>
          </w:p>
          <w:p>
            <w:pPr>
              <w:widowControl/>
              <w:jc w:val="center"/>
              <w:rPr>
                <w:rFonts w:ascii="宋体" w:hAnsi="宋体" w:cs="宋体"/>
                <w:sz w:val="24"/>
              </w:rPr>
            </w:pPr>
            <w:r>
              <w:rPr>
                <w:rFonts w:hint="eastAsia" w:asciiTheme="minorEastAsia" w:hAnsiTheme="minorEastAsia" w:cstheme="minorEastAsia"/>
                <w:kern w:val="0"/>
                <w:szCs w:val="21"/>
              </w:rPr>
              <w:t>18890237717</w:t>
            </w:r>
          </w:p>
        </w:tc>
        <w:tc>
          <w:tcPr>
            <w:tcW w:w="1870" w:type="dxa"/>
            <w:tcBorders>
              <w:top w:val="single" w:color="auto" w:sz="4" w:space="0"/>
              <w:left w:val="nil"/>
              <w:bottom w:val="single" w:color="auto" w:sz="4" w:space="0"/>
              <w:right w:val="single" w:color="auto" w:sz="4" w:space="0"/>
            </w:tcBorders>
            <w:shd w:val="clear" w:color="auto" w:fill="CCFFFF"/>
            <w:vAlign w:val="center"/>
          </w:tcPr>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谭倩余小光</w:t>
            </w:r>
          </w:p>
          <w:p>
            <w:pPr>
              <w:widowControl/>
              <w:jc w:val="left"/>
              <w:rPr>
                <w:rFonts w:ascii="宋体" w:hAnsi="宋体" w:cs="宋体"/>
                <w:sz w:val="24"/>
              </w:rPr>
            </w:pPr>
            <w:r>
              <w:rPr>
                <w:rFonts w:hint="eastAsia" w:asciiTheme="minorEastAsia" w:hAnsiTheme="minorEastAsia" w:cstheme="minorEastAsia"/>
                <w:kern w:val="0"/>
                <w:szCs w:val="21"/>
              </w:rPr>
              <w:t>谢桂蓉李崇裔</w:t>
            </w:r>
          </w:p>
        </w:tc>
      </w:tr>
      <w:tr>
        <w:tblPrEx>
          <w:tblLayout w:type="fixed"/>
          <w:tblCellMar>
            <w:top w:w="0" w:type="dxa"/>
            <w:left w:w="108" w:type="dxa"/>
            <w:bottom w:w="0" w:type="dxa"/>
            <w:right w:w="108" w:type="dxa"/>
          </w:tblCellMar>
        </w:tblPrEx>
        <w:trPr>
          <w:trHeight w:val="454"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CCFFFF"/>
            <w:vAlign w:val="center"/>
          </w:tcPr>
          <w:p>
            <w:pPr>
              <w:widowControl/>
              <w:jc w:val="center"/>
              <w:rPr>
                <w:rFonts w:ascii="宋体" w:hAnsi="宋体" w:cs="宋体"/>
                <w:kern w:val="0"/>
                <w:sz w:val="24"/>
              </w:rPr>
            </w:pPr>
            <w:r>
              <w:rPr>
                <w:rFonts w:hint="eastAsia" w:asciiTheme="minorEastAsia" w:hAnsiTheme="minorEastAsia" w:cstheme="minorEastAsia"/>
                <w:kern w:val="0"/>
                <w:szCs w:val="21"/>
              </w:rPr>
              <w:t>5</w:t>
            </w:r>
          </w:p>
        </w:tc>
        <w:tc>
          <w:tcPr>
            <w:tcW w:w="1784"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化学工程学院</w:t>
            </w:r>
          </w:p>
        </w:tc>
        <w:tc>
          <w:tcPr>
            <w:tcW w:w="23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化妆品生产技术</w:t>
            </w:r>
          </w:p>
        </w:tc>
        <w:tc>
          <w:tcPr>
            <w:tcW w:w="14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陈文娟</w:t>
            </w:r>
          </w:p>
          <w:p>
            <w:pPr>
              <w:widowControl/>
              <w:jc w:val="center"/>
              <w:rPr>
                <w:rFonts w:ascii="宋体" w:hAnsi="宋体" w:cs="宋体"/>
                <w:sz w:val="24"/>
              </w:rPr>
            </w:pPr>
            <w:r>
              <w:rPr>
                <w:rFonts w:hint="eastAsia" w:asciiTheme="minorEastAsia" w:hAnsiTheme="minorEastAsia" w:cstheme="minorEastAsia"/>
                <w:kern w:val="0"/>
                <w:szCs w:val="21"/>
              </w:rPr>
              <w:t>18573106792</w:t>
            </w:r>
          </w:p>
        </w:tc>
        <w:tc>
          <w:tcPr>
            <w:tcW w:w="1870" w:type="dxa"/>
            <w:tcBorders>
              <w:top w:val="single" w:color="auto" w:sz="4" w:space="0"/>
              <w:left w:val="nil"/>
              <w:bottom w:val="single" w:color="auto" w:sz="4" w:space="0"/>
              <w:right w:val="single" w:color="auto" w:sz="4" w:space="0"/>
            </w:tcBorders>
            <w:shd w:val="clear" w:color="auto" w:fill="CCFFFF"/>
            <w:vAlign w:val="center"/>
          </w:tcPr>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谢桂蓉魏义兰</w:t>
            </w:r>
          </w:p>
          <w:p>
            <w:pPr>
              <w:widowControl/>
              <w:jc w:val="left"/>
              <w:rPr>
                <w:rFonts w:ascii="宋体" w:hAnsi="宋体" w:cs="宋体"/>
                <w:sz w:val="24"/>
              </w:rPr>
            </w:pPr>
            <w:r>
              <w:rPr>
                <w:rFonts w:hint="eastAsia" w:asciiTheme="minorEastAsia" w:hAnsiTheme="minorEastAsia" w:cstheme="minorEastAsia"/>
                <w:kern w:val="0"/>
                <w:szCs w:val="21"/>
              </w:rPr>
              <w:t>刘小忠钟红梅</w:t>
            </w:r>
          </w:p>
        </w:tc>
      </w:tr>
      <w:tr>
        <w:tblPrEx>
          <w:tblLayout w:type="fixed"/>
          <w:tblCellMar>
            <w:top w:w="0" w:type="dxa"/>
            <w:left w:w="108" w:type="dxa"/>
            <w:bottom w:w="0" w:type="dxa"/>
            <w:right w:w="108" w:type="dxa"/>
          </w:tblCellMar>
        </w:tblPrEx>
        <w:trPr>
          <w:trHeight w:val="454"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CCFFFF"/>
            <w:vAlign w:val="center"/>
          </w:tcPr>
          <w:p>
            <w:pPr>
              <w:widowControl/>
              <w:jc w:val="center"/>
              <w:rPr>
                <w:rFonts w:ascii="宋体" w:hAnsi="宋体" w:cs="宋体"/>
                <w:kern w:val="0"/>
                <w:sz w:val="24"/>
              </w:rPr>
            </w:pPr>
            <w:r>
              <w:rPr>
                <w:rFonts w:hint="eastAsia" w:asciiTheme="minorEastAsia" w:hAnsiTheme="minorEastAsia" w:cstheme="minorEastAsia"/>
                <w:kern w:val="0"/>
                <w:szCs w:val="21"/>
              </w:rPr>
              <w:t>6</w:t>
            </w:r>
          </w:p>
        </w:tc>
        <w:tc>
          <w:tcPr>
            <w:tcW w:w="1784"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化学工程学院</w:t>
            </w:r>
          </w:p>
        </w:tc>
        <w:tc>
          <w:tcPr>
            <w:tcW w:w="23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化妆品质量检验技术</w:t>
            </w:r>
          </w:p>
        </w:tc>
        <w:tc>
          <w:tcPr>
            <w:tcW w:w="14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廖红光</w:t>
            </w:r>
          </w:p>
          <w:p>
            <w:pPr>
              <w:widowControl/>
              <w:jc w:val="center"/>
              <w:rPr>
                <w:rFonts w:ascii="宋体" w:hAnsi="宋体" w:cs="宋体"/>
                <w:sz w:val="24"/>
              </w:rPr>
            </w:pPr>
            <w:r>
              <w:rPr>
                <w:rFonts w:hint="eastAsia" w:asciiTheme="minorEastAsia" w:hAnsiTheme="minorEastAsia" w:cstheme="minorEastAsia"/>
                <w:kern w:val="0"/>
                <w:szCs w:val="21"/>
              </w:rPr>
              <w:t>18073310259</w:t>
            </w:r>
          </w:p>
        </w:tc>
        <w:tc>
          <w:tcPr>
            <w:tcW w:w="1870" w:type="dxa"/>
            <w:tcBorders>
              <w:top w:val="single" w:color="auto" w:sz="4" w:space="0"/>
              <w:left w:val="nil"/>
              <w:bottom w:val="single" w:color="auto" w:sz="4" w:space="0"/>
              <w:right w:val="single" w:color="auto" w:sz="4" w:space="0"/>
            </w:tcBorders>
            <w:shd w:val="clear" w:color="auto" w:fill="CCFFFF"/>
            <w:vAlign w:val="center"/>
          </w:tcPr>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肖艳娟魏义兰</w:t>
            </w:r>
          </w:p>
          <w:p>
            <w:pPr>
              <w:widowControl/>
              <w:jc w:val="left"/>
              <w:rPr>
                <w:rFonts w:ascii="宋体" w:hAnsi="宋体" w:cs="宋体"/>
                <w:sz w:val="24"/>
              </w:rPr>
            </w:pPr>
            <w:r>
              <w:rPr>
                <w:rFonts w:hint="eastAsia" w:asciiTheme="minorEastAsia" w:hAnsiTheme="minorEastAsia" w:cstheme="minorEastAsia"/>
                <w:kern w:val="0"/>
                <w:szCs w:val="21"/>
              </w:rPr>
              <w:t>梁美东旭铁健</w:t>
            </w:r>
          </w:p>
        </w:tc>
      </w:tr>
      <w:tr>
        <w:tblPrEx>
          <w:tblLayout w:type="fixed"/>
          <w:tblCellMar>
            <w:top w:w="0" w:type="dxa"/>
            <w:left w:w="108" w:type="dxa"/>
            <w:bottom w:w="0" w:type="dxa"/>
            <w:right w:w="108" w:type="dxa"/>
          </w:tblCellMar>
        </w:tblPrEx>
        <w:trPr>
          <w:trHeight w:val="454"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CCFFFF"/>
            <w:vAlign w:val="center"/>
          </w:tcPr>
          <w:p>
            <w:pPr>
              <w:widowControl/>
              <w:jc w:val="center"/>
              <w:rPr>
                <w:rFonts w:ascii="宋体" w:hAnsi="宋体" w:cs="宋体"/>
                <w:kern w:val="0"/>
                <w:sz w:val="24"/>
              </w:rPr>
            </w:pPr>
            <w:r>
              <w:rPr>
                <w:rFonts w:hint="eastAsia" w:asciiTheme="minorEastAsia" w:hAnsiTheme="minorEastAsia" w:cstheme="minorEastAsia"/>
                <w:kern w:val="0"/>
                <w:szCs w:val="21"/>
              </w:rPr>
              <w:t>7</w:t>
            </w:r>
          </w:p>
        </w:tc>
        <w:tc>
          <w:tcPr>
            <w:tcW w:w="1784"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商学院</w:t>
            </w:r>
          </w:p>
        </w:tc>
        <w:tc>
          <w:tcPr>
            <w:tcW w:w="23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商务谈判</w:t>
            </w:r>
          </w:p>
        </w:tc>
        <w:tc>
          <w:tcPr>
            <w:tcW w:w="14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许刚慧</w:t>
            </w:r>
          </w:p>
          <w:p>
            <w:pPr>
              <w:widowControl/>
              <w:jc w:val="center"/>
              <w:rPr>
                <w:rFonts w:ascii="宋体" w:hAnsi="宋体" w:cs="宋体"/>
                <w:sz w:val="24"/>
              </w:rPr>
            </w:pPr>
            <w:r>
              <w:rPr>
                <w:rFonts w:hint="eastAsia" w:asciiTheme="minorEastAsia" w:hAnsiTheme="minorEastAsia" w:cstheme="minorEastAsia"/>
                <w:kern w:val="0"/>
                <w:szCs w:val="21"/>
              </w:rPr>
              <w:t>13975333760</w:t>
            </w:r>
          </w:p>
        </w:tc>
        <w:tc>
          <w:tcPr>
            <w:tcW w:w="1870" w:type="dxa"/>
            <w:tcBorders>
              <w:top w:val="single" w:color="auto" w:sz="4" w:space="0"/>
              <w:left w:val="nil"/>
              <w:bottom w:val="single" w:color="auto" w:sz="4" w:space="0"/>
              <w:right w:val="single" w:color="auto" w:sz="4" w:space="0"/>
            </w:tcBorders>
            <w:shd w:val="clear" w:color="auto" w:fill="CCFFFF"/>
            <w:vAlign w:val="center"/>
          </w:tcPr>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熊美珍陈朝辉</w:t>
            </w:r>
          </w:p>
          <w:p>
            <w:pPr>
              <w:widowControl/>
              <w:jc w:val="left"/>
              <w:rPr>
                <w:rFonts w:ascii="宋体" w:hAnsi="宋体" w:cs="宋体"/>
                <w:sz w:val="24"/>
              </w:rPr>
            </w:pPr>
            <w:r>
              <w:rPr>
                <w:rFonts w:hint="eastAsia" w:asciiTheme="minorEastAsia" w:hAnsiTheme="minorEastAsia" w:cstheme="minorEastAsia"/>
                <w:kern w:val="0"/>
                <w:szCs w:val="21"/>
              </w:rPr>
              <w:t>钟建军</w:t>
            </w:r>
          </w:p>
        </w:tc>
      </w:tr>
      <w:tr>
        <w:tblPrEx>
          <w:tblLayout w:type="fixed"/>
          <w:tblCellMar>
            <w:top w:w="0" w:type="dxa"/>
            <w:left w:w="108" w:type="dxa"/>
            <w:bottom w:w="0" w:type="dxa"/>
            <w:right w:w="108" w:type="dxa"/>
          </w:tblCellMar>
        </w:tblPrEx>
        <w:trPr>
          <w:trHeight w:val="454"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CCFFFF"/>
            <w:vAlign w:val="center"/>
          </w:tcPr>
          <w:p>
            <w:pPr>
              <w:widowControl/>
              <w:jc w:val="center"/>
              <w:rPr>
                <w:rFonts w:ascii="宋体" w:hAnsi="宋体" w:cs="宋体"/>
                <w:kern w:val="0"/>
                <w:sz w:val="24"/>
              </w:rPr>
            </w:pPr>
            <w:r>
              <w:rPr>
                <w:rFonts w:hint="eastAsia" w:asciiTheme="minorEastAsia" w:hAnsiTheme="minorEastAsia" w:cstheme="minorEastAsia"/>
                <w:kern w:val="0"/>
                <w:szCs w:val="21"/>
              </w:rPr>
              <w:t>8</w:t>
            </w:r>
          </w:p>
        </w:tc>
        <w:tc>
          <w:tcPr>
            <w:tcW w:w="1784"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机电工程学院</w:t>
            </w:r>
          </w:p>
        </w:tc>
        <w:tc>
          <w:tcPr>
            <w:tcW w:w="23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机械工程材料与成型</w:t>
            </w:r>
          </w:p>
        </w:tc>
        <w:tc>
          <w:tcPr>
            <w:tcW w:w="14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肖爱武</w:t>
            </w:r>
          </w:p>
          <w:p>
            <w:pPr>
              <w:widowControl/>
              <w:jc w:val="center"/>
              <w:rPr>
                <w:rFonts w:ascii="宋体" w:hAnsi="宋体" w:cs="宋体"/>
                <w:sz w:val="24"/>
              </w:rPr>
            </w:pPr>
            <w:r>
              <w:rPr>
                <w:rFonts w:hint="eastAsia" w:asciiTheme="minorEastAsia" w:hAnsiTheme="minorEastAsia" w:cstheme="minorEastAsia"/>
                <w:kern w:val="0"/>
                <w:szCs w:val="21"/>
              </w:rPr>
              <w:t>13873351375</w:t>
            </w:r>
          </w:p>
        </w:tc>
        <w:tc>
          <w:tcPr>
            <w:tcW w:w="1870" w:type="dxa"/>
            <w:tcBorders>
              <w:top w:val="single" w:color="auto" w:sz="4" w:space="0"/>
              <w:left w:val="nil"/>
              <w:bottom w:val="single" w:color="auto" w:sz="4" w:space="0"/>
              <w:right w:val="single" w:color="auto" w:sz="4" w:space="0"/>
            </w:tcBorders>
            <w:shd w:val="clear" w:color="auto" w:fill="CCFFFF"/>
            <w:vAlign w:val="center"/>
          </w:tcPr>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赖春明孟少明</w:t>
            </w:r>
          </w:p>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向寓华谭海林</w:t>
            </w:r>
          </w:p>
          <w:p>
            <w:pPr>
              <w:widowControl/>
              <w:jc w:val="left"/>
              <w:rPr>
                <w:rFonts w:ascii="宋体" w:hAnsi="宋体" w:cs="宋体"/>
                <w:sz w:val="24"/>
              </w:rPr>
            </w:pPr>
            <w:r>
              <w:rPr>
                <w:rFonts w:hint="eastAsia" w:asciiTheme="minorEastAsia" w:hAnsiTheme="minorEastAsia" w:cstheme="minorEastAsia"/>
                <w:kern w:val="0"/>
                <w:szCs w:val="21"/>
              </w:rPr>
              <w:t>董明亮汪次荣</w:t>
            </w:r>
          </w:p>
        </w:tc>
      </w:tr>
      <w:tr>
        <w:tblPrEx>
          <w:tblLayout w:type="fixed"/>
          <w:tblCellMar>
            <w:top w:w="0" w:type="dxa"/>
            <w:left w:w="108" w:type="dxa"/>
            <w:bottom w:w="0" w:type="dxa"/>
            <w:right w:w="108" w:type="dxa"/>
          </w:tblCellMar>
        </w:tblPrEx>
        <w:trPr>
          <w:trHeight w:val="454"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CCFFFF"/>
            <w:vAlign w:val="center"/>
          </w:tcPr>
          <w:p>
            <w:pPr>
              <w:widowControl/>
              <w:jc w:val="center"/>
              <w:rPr>
                <w:rFonts w:ascii="宋体" w:hAnsi="宋体" w:cs="宋体"/>
                <w:kern w:val="0"/>
                <w:sz w:val="24"/>
              </w:rPr>
            </w:pPr>
            <w:r>
              <w:rPr>
                <w:rFonts w:hint="eastAsia" w:asciiTheme="minorEastAsia" w:hAnsiTheme="minorEastAsia" w:cstheme="minorEastAsia"/>
                <w:kern w:val="0"/>
                <w:szCs w:val="21"/>
              </w:rPr>
              <w:t>9</w:t>
            </w:r>
          </w:p>
        </w:tc>
        <w:tc>
          <w:tcPr>
            <w:tcW w:w="1784"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机电工程学院</w:t>
            </w:r>
          </w:p>
        </w:tc>
        <w:tc>
          <w:tcPr>
            <w:tcW w:w="23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工业机器人操作与编程</w:t>
            </w:r>
          </w:p>
        </w:tc>
        <w:tc>
          <w:tcPr>
            <w:tcW w:w="14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陈土军</w:t>
            </w:r>
          </w:p>
          <w:p>
            <w:pPr>
              <w:widowControl/>
              <w:jc w:val="center"/>
              <w:rPr>
                <w:rFonts w:ascii="宋体" w:hAnsi="宋体" w:cs="宋体"/>
                <w:sz w:val="24"/>
              </w:rPr>
            </w:pPr>
            <w:r>
              <w:rPr>
                <w:rFonts w:hint="eastAsia" w:asciiTheme="minorEastAsia" w:hAnsiTheme="minorEastAsia" w:cstheme="minorEastAsia"/>
                <w:kern w:val="0"/>
                <w:szCs w:val="21"/>
              </w:rPr>
              <w:t>18173261673</w:t>
            </w:r>
          </w:p>
        </w:tc>
        <w:tc>
          <w:tcPr>
            <w:tcW w:w="1870" w:type="dxa"/>
            <w:tcBorders>
              <w:top w:val="single" w:color="auto" w:sz="4" w:space="0"/>
              <w:left w:val="nil"/>
              <w:bottom w:val="single" w:color="auto" w:sz="4" w:space="0"/>
              <w:right w:val="single" w:color="auto" w:sz="4" w:space="0"/>
            </w:tcBorders>
            <w:shd w:val="clear" w:color="auto" w:fill="CCFFFF"/>
            <w:vAlign w:val="center"/>
          </w:tcPr>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张军尹霞</w:t>
            </w:r>
          </w:p>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左志坚廖申学</w:t>
            </w:r>
          </w:p>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李红秀唐前鹏</w:t>
            </w:r>
          </w:p>
          <w:p>
            <w:pPr>
              <w:widowControl/>
              <w:jc w:val="left"/>
              <w:rPr>
                <w:rFonts w:ascii="宋体" w:hAnsi="宋体" w:cs="宋体"/>
                <w:sz w:val="24"/>
              </w:rPr>
            </w:pPr>
            <w:r>
              <w:rPr>
                <w:rFonts w:hint="eastAsia" w:asciiTheme="minorEastAsia" w:hAnsiTheme="minorEastAsia" w:cstheme="minorEastAsia"/>
                <w:kern w:val="0"/>
                <w:szCs w:val="21"/>
              </w:rPr>
              <w:t>聂辉文</w:t>
            </w:r>
          </w:p>
        </w:tc>
      </w:tr>
      <w:tr>
        <w:tblPrEx>
          <w:tblLayout w:type="fixed"/>
          <w:tblCellMar>
            <w:top w:w="0" w:type="dxa"/>
            <w:left w:w="108" w:type="dxa"/>
            <w:bottom w:w="0" w:type="dxa"/>
            <w:right w:w="108" w:type="dxa"/>
          </w:tblCellMar>
        </w:tblPrEx>
        <w:trPr>
          <w:trHeight w:val="454"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CCFFFF"/>
            <w:vAlign w:val="center"/>
          </w:tcPr>
          <w:p>
            <w:pPr>
              <w:widowControl/>
              <w:jc w:val="center"/>
              <w:rPr>
                <w:rFonts w:ascii="宋体" w:hAnsi="宋体" w:cs="宋体"/>
                <w:kern w:val="0"/>
                <w:sz w:val="24"/>
              </w:rPr>
            </w:pPr>
            <w:r>
              <w:rPr>
                <w:rFonts w:hint="eastAsia" w:asciiTheme="minorEastAsia" w:hAnsiTheme="minorEastAsia" w:cstheme="minorEastAsia"/>
                <w:kern w:val="0"/>
                <w:szCs w:val="21"/>
              </w:rPr>
              <w:t>10</w:t>
            </w:r>
          </w:p>
        </w:tc>
        <w:tc>
          <w:tcPr>
            <w:tcW w:w="1784"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自动化与信</w:t>
            </w:r>
          </w:p>
          <w:p>
            <w:pPr>
              <w:widowControl/>
              <w:jc w:val="center"/>
              <w:rPr>
                <w:rFonts w:ascii="宋体" w:hAnsi="宋体" w:cs="宋体"/>
                <w:sz w:val="24"/>
              </w:rPr>
            </w:pPr>
            <w:r>
              <w:rPr>
                <w:rFonts w:hint="eastAsia" w:asciiTheme="minorEastAsia" w:hAnsiTheme="minorEastAsia" w:cstheme="minorEastAsia"/>
                <w:kern w:val="0"/>
                <w:szCs w:val="21"/>
              </w:rPr>
              <w:t>息工程学院</w:t>
            </w:r>
          </w:p>
        </w:tc>
        <w:tc>
          <w:tcPr>
            <w:tcW w:w="23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宋体" w:hAnsi="宋体" w:cs="宋体"/>
                <w:sz w:val="24"/>
              </w:rPr>
            </w:pPr>
            <w:r>
              <w:rPr>
                <w:rFonts w:hint="eastAsia" w:asciiTheme="minorEastAsia" w:hAnsiTheme="minorEastAsia" w:cstheme="minorEastAsia"/>
                <w:kern w:val="0"/>
                <w:szCs w:val="21"/>
              </w:rPr>
              <w:t>现场仪表运行与维护</w:t>
            </w:r>
          </w:p>
        </w:tc>
        <w:tc>
          <w:tcPr>
            <w:tcW w:w="1483" w:type="dxa"/>
            <w:tcBorders>
              <w:top w:val="single" w:color="auto" w:sz="4" w:space="0"/>
              <w:left w:val="nil"/>
              <w:bottom w:val="single" w:color="auto" w:sz="4" w:space="0"/>
              <w:right w:val="single" w:color="auto" w:sz="4" w:space="0"/>
            </w:tcBorders>
            <w:shd w:val="clear" w:color="auto" w:fill="CCFFFF"/>
            <w:vAlign w:val="center"/>
          </w:tcPr>
          <w:p>
            <w:pPr>
              <w:widowControl/>
              <w:jc w:val="center"/>
              <w:rPr>
                <w:rFonts w:asciiTheme="minorEastAsia" w:hAnsiTheme="minorEastAsia" w:cstheme="minorEastAsia"/>
                <w:kern w:val="0"/>
                <w:szCs w:val="21"/>
              </w:rPr>
            </w:pPr>
            <w:r>
              <w:rPr>
                <w:rFonts w:hint="eastAsia" w:asciiTheme="minorEastAsia" w:hAnsiTheme="minorEastAsia" w:cstheme="minorEastAsia"/>
                <w:kern w:val="0"/>
                <w:szCs w:val="21"/>
              </w:rPr>
              <w:t>曾春霞</w:t>
            </w:r>
          </w:p>
          <w:p>
            <w:pPr>
              <w:widowControl/>
              <w:jc w:val="center"/>
              <w:rPr>
                <w:rFonts w:ascii="宋体" w:hAnsi="宋体" w:cs="宋体"/>
                <w:sz w:val="24"/>
              </w:rPr>
            </w:pPr>
            <w:r>
              <w:rPr>
                <w:rFonts w:hint="eastAsia" w:asciiTheme="minorEastAsia" w:hAnsiTheme="minorEastAsia" w:cstheme="minorEastAsia"/>
                <w:kern w:val="0"/>
                <w:szCs w:val="21"/>
              </w:rPr>
              <w:t>18907415745</w:t>
            </w:r>
          </w:p>
        </w:tc>
        <w:tc>
          <w:tcPr>
            <w:tcW w:w="1870" w:type="dxa"/>
            <w:tcBorders>
              <w:top w:val="single" w:color="auto" w:sz="4" w:space="0"/>
              <w:left w:val="nil"/>
              <w:bottom w:val="single" w:color="auto" w:sz="4" w:space="0"/>
              <w:right w:val="single" w:color="auto" w:sz="4" w:space="0"/>
            </w:tcBorders>
            <w:shd w:val="clear" w:color="auto" w:fill="CCFFFF"/>
            <w:vAlign w:val="center"/>
          </w:tcPr>
          <w:p>
            <w:pPr>
              <w:widowControl/>
              <w:jc w:val="left"/>
              <w:rPr>
                <w:rFonts w:asciiTheme="minorEastAsia" w:hAnsiTheme="minorEastAsia" w:cstheme="minorEastAsia"/>
                <w:kern w:val="0"/>
                <w:szCs w:val="21"/>
              </w:rPr>
            </w:pPr>
            <w:r>
              <w:rPr>
                <w:rFonts w:hint="eastAsia" w:asciiTheme="minorEastAsia" w:hAnsiTheme="minorEastAsia" w:cstheme="minorEastAsia"/>
                <w:kern w:val="0"/>
                <w:szCs w:val="21"/>
              </w:rPr>
              <w:t>李坤鹏何涛</w:t>
            </w:r>
          </w:p>
          <w:p>
            <w:pPr>
              <w:widowControl/>
              <w:jc w:val="left"/>
              <w:rPr>
                <w:rFonts w:ascii="宋体" w:hAnsi="宋体" w:cs="宋体"/>
                <w:sz w:val="24"/>
              </w:rPr>
            </w:pPr>
            <w:r>
              <w:rPr>
                <w:rFonts w:hint="eastAsia" w:asciiTheme="minorEastAsia" w:hAnsiTheme="minorEastAsia" w:cstheme="minorEastAsia"/>
                <w:kern w:val="0"/>
                <w:szCs w:val="21"/>
              </w:rPr>
              <w:t>李丽霞</w:t>
            </w:r>
          </w:p>
        </w:tc>
      </w:tr>
    </w:tbl>
    <w:p>
      <w:pPr>
        <w:spacing w:line="360" w:lineRule="auto"/>
        <w:jc w:val="right"/>
        <w:rPr>
          <w:rFonts w:ascii="宋体" w:hAnsi="宋体"/>
          <w:b/>
          <w:szCs w:val="21"/>
        </w:rPr>
      </w:pPr>
      <w:r>
        <w:rPr>
          <w:rFonts w:hint="eastAsia" w:ascii="宋体" w:hAnsi="宋体"/>
          <w:b/>
          <w:szCs w:val="21"/>
        </w:rPr>
        <w:t>数据来源：学院省级卓越高职院校建设项目2017年度建设数据（教务处）</w:t>
      </w:r>
    </w:p>
    <w:p>
      <w:pPr>
        <w:pStyle w:val="3"/>
      </w:pPr>
      <w:bookmarkStart w:id="140" w:name="_Toc22995"/>
      <w:bookmarkStart w:id="141" w:name="_Toc4585"/>
      <w:r>
        <w:rPr>
          <w:rFonts w:hint="eastAsia"/>
        </w:rPr>
        <w:t>3.8 教育信息化</w:t>
      </w:r>
      <w:bookmarkEnd w:id="140"/>
      <w:bookmarkEnd w:id="141"/>
    </w:p>
    <w:p>
      <w:pPr>
        <w:adjustRightInd w:val="0"/>
        <w:snapToGrid w:val="0"/>
        <w:spacing w:line="360" w:lineRule="auto"/>
        <w:ind w:firstLine="480" w:firstLineChars="200"/>
        <w:rPr>
          <w:rFonts w:ascii="宋体" w:hAnsi="宋体"/>
          <w:sz w:val="24"/>
        </w:rPr>
      </w:pPr>
      <w:r>
        <w:rPr>
          <w:rFonts w:hint="eastAsia" w:ascii="宋体" w:hAnsi="宋体"/>
          <w:sz w:val="24"/>
        </w:rPr>
        <w:t>自2011年，学院以世界大学城云平台应用为切入点加快了教育信息化建设。紧紧围绕学生“知识+技能+职业精神与态度”的培养需求，依据高等职业教育的特点与规律，借助信息技术元素，有效改造和优化基于行动导向的教学方法，</w:t>
      </w:r>
      <w:r>
        <w:rPr>
          <w:rFonts w:hint="eastAsia" w:ascii="宋体" w:hAnsi="宋体"/>
          <w:b/>
          <w:bCs/>
          <w:sz w:val="24"/>
        </w:rPr>
        <w:t>构建并推行了“1+n”信息化教学方式方法应用模式</w:t>
      </w:r>
      <w:r>
        <w:rPr>
          <w:rFonts w:hint="eastAsia" w:ascii="宋体" w:hAnsi="宋体"/>
          <w:sz w:val="24"/>
        </w:rPr>
        <w:t>（“1”是指基于信息技术，“n”是项目化、任务驱动式、案例式、问题导向等基于行动导向的多元教学方法，见图3-20），取得了显著教学改革成效并予以了推广应用。学院为省级教育信息化试点优秀学院、创新应用示范校，信息化教学创新经验荣获“第五届华夏高科技产业创新奖”,参加全国性成果展4次，光明日报等媒体报道50余次，在教育部信息管理中心组织高峰论坛等省级以上会议推介12场次，湖南工业大学、浙江机电等20余所省内外院校来校交流，学院教师分别到湘潭大学等15所兄弟院校进行信息化教学培训指导近30场次。</w:t>
      </w:r>
    </w:p>
    <w:p>
      <w:pPr>
        <w:rPr>
          <w:rFonts w:ascii="宋体" w:hAnsi="宋体" w:cs="宋体"/>
          <w:sz w:val="24"/>
        </w:rPr>
      </w:pPr>
      <w:r>
        <w:rPr>
          <w:rFonts w:ascii="宋体" w:hAnsi="宋体" w:cs="宋体"/>
          <w:kern w:val="0"/>
          <w:sz w:val="24"/>
        </w:rPr>
        <w:drawing>
          <wp:inline distT="0" distB="0" distL="114300" distR="114300">
            <wp:extent cx="4787900" cy="1463675"/>
            <wp:effectExtent l="0" t="0" r="12700" b="3175"/>
            <wp:docPr id="73" name="图片 12" descr="说明: C:\Users\Administrator\AppData\Roaming\Tencent\Users\281735171\QQ\WinTemp\RichOle\ZR{XHSCF1L_68PRNJB)~TH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descr="说明: C:\Users\Administrator\AppData\Roaming\Tencent\Users\281735171\QQ\WinTemp\RichOle\ZR{XHSCF1L_68PRNJB)~TH0.png"/>
                    <pic:cNvPicPr>
                      <a:picLocks noChangeAspect="1"/>
                    </pic:cNvPicPr>
                  </pic:nvPicPr>
                  <pic:blipFill>
                    <a:blip r:embed="rId60"/>
                    <a:stretch>
                      <a:fillRect/>
                    </a:stretch>
                  </pic:blipFill>
                  <pic:spPr>
                    <a:xfrm>
                      <a:off x="0" y="0"/>
                      <a:ext cx="4787900" cy="1463675"/>
                    </a:xfrm>
                    <a:prstGeom prst="rect">
                      <a:avLst/>
                    </a:prstGeom>
                    <a:noFill/>
                    <a:ln w="9525">
                      <a:noFill/>
                    </a:ln>
                  </pic:spPr>
                </pic:pic>
              </a:graphicData>
            </a:graphic>
          </wp:inline>
        </w:drawing>
      </w:r>
    </w:p>
    <w:p>
      <w:pPr>
        <w:widowControl/>
        <w:jc w:val="center"/>
        <w:rPr>
          <w:rFonts w:ascii="宋体" w:hAnsi="宋体" w:cs="宋体"/>
          <w:b/>
          <w:color w:val="000000"/>
          <w:kern w:val="0"/>
          <w:szCs w:val="21"/>
        </w:rPr>
      </w:pPr>
      <w:r>
        <w:rPr>
          <w:rFonts w:hint="eastAsia" w:ascii="宋体" w:hAnsi="宋体" w:cs="宋体"/>
          <w:b/>
          <w:color w:val="000000"/>
          <w:kern w:val="0"/>
          <w:szCs w:val="21"/>
        </w:rPr>
        <w:t>图3-20 “1+n”信息化教学方式方法应用新模式示意图</w:t>
      </w:r>
    </w:p>
    <w:p>
      <w:pPr>
        <w:pStyle w:val="4"/>
        <w:spacing w:before="156" w:after="156"/>
        <w:ind w:firstLine="562"/>
        <w:rPr>
          <w:color w:val="000000" w:themeColor="text1"/>
        </w:rPr>
      </w:pPr>
      <w:bookmarkStart w:id="142" w:name="_Toc30099"/>
      <w:bookmarkStart w:id="143" w:name="_Toc483819364"/>
      <w:bookmarkStart w:id="144" w:name="_Toc7074"/>
      <w:r>
        <w:rPr>
          <w:rFonts w:hint="eastAsia"/>
          <w:color w:val="000000" w:themeColor="text1"/>
        </w:rPr>
        <w:t>（1）从试点到常态推进信息化教学方法创新应用</w:t>
      </w:r>
      <w:bookmarkEnd w:id="142"/>
      <w:bookmarkEnd w:id="143"/>
      <w:bookmarkEnd w:id="144"/>
    </w:p>
    <w:p>
      <w:pPr>
        <w:spacing w:line="360" w:lineRule="auto"/>
        <w:ind w:firstLine="480" w:firstLineChars="200"/>
        <w:rPr>
          <w:rFonts w:ascii="宋体" w:hAnsi="宋体"/>
          <w:sz w:val="24"/>
        </w:rPr>
      </w:pPr>
      <w:r>
        <w:rPr>
          <w:rFonts w:hint="eastAsia" w:ascii="宋体" w:hAnsi="宋体"/>
          <w:sz w:val="24"/>
        </w:rPr>
        <w:t>一是开发与应用多元、立体化课程资源。此项已在3.7 课程（教学资源）建设——（3）多方投入共建数字课程资源中阐述，此处不再重复。</w:t>
      </w:r>
    </w:p>
    <w:p>
      <w:pPr>
        <w:adjustRightInd w:val="0"/>
        <w:snapToGrid w:val="0"/>
        <w:spacing w:line="360" w:lineRule="auto"/>
        <w:ind w:firstLine="480" w:firstLineChars="200"/>
        <w:rPr>
          <w:rFonts w:ascii="宋体" w:hAnsi="宋体"/>
          <w:sz w:val="24"/>
        </w:rPr>
      </w:pPr>
      <w:r>
        <w:rPr>
          <w:rFonts w:hint="eastAsia" w:ascii="宋体" w:hAnsi="宋体"/>
          <w:sz w:val="24"/>
        </w:rPr>
        <w:t>二是全面推行信息化教学方式方法。学院从2014年始分专业遴选28门课程进行试点，采取课程团队协同创新模式，开展以基于云平台和“五分钟”课程（微课）等碎片化资源建设为基础的信息化教学方式方法应用探索。并将巧用信息技术作为每年一度的“十佳优质课堂”评选及日常评教的课堂评价重要指标之一（见图3-21），从点到面推进信息化教学方法应用的课程改革，形成了“基于云空间的思政‘教学做养’混合式教学”、“基于云平台的项目化教学”、“多维立体化教学”等12种特色化教学方法和“1+n”信息化教学方法应用新模式。</w:t>
      </w:r>
    </w:p>
    <w:p>
      <w:pPr>
        <w:adjustRightInd w:val="0"/>
        <w:snapToGrid w:val="0"/>
        <w:spacing w:line="360" w:lineRule="auto"/>
        <w:jc w:val="center"/>
        <w:rPr>
          <w:rFonts w:ascii="宋体" w:hAnsi="宋体" w:cs="宋体"/>
          <w:kern w:val="0"/>
          <w:sz w:val="24"/>
        </w:rPr>
      </w:pPr>
      <w:r>
        <w:rPr>
          <w:rFonts w:ascii="宋体" w:hAnsi="宋体" w:cs="宋体"/>
          <w:kern w:val="0"/>
          <w:sz w:val="24"/>
        </w:rPr>
        <w:drawing>
          <wp:inline distT="0" distB="0" distL="114300" distR="114300">
            <wp:extent cx="4358005" cy="2519045"/>
            <wp:effectExtent l="0" t="0" r="4445" b="14605"/>
            <wp:docPr id="75" name="图片 13" descr="说明: C:\Users\Administrator\AppData\Roaming\Tencent\Users\281735171\QQ\WinTemp\RichOle\}H5JMINMFLZJPN51SI$0@0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descr="说明: C:\Users\Administrator\AppData\Roaming\Tencent\Users\281735171\QQ\WinTemp\RichOle\}H5JMINMFLZJPN51SI$0@0L.png"/>
                    <pic:cNvPicPr>
                      <a:picLocks noChangeAspect="1"/>
                    </pic:cNvPicPr>
                  </pic:nvPicPr>
                  <pic:blipFill>
                    <a:blip r:embed="rId61"/>
                    <a:stretch>
                      <a:fillRect/>
                    </a:stretch>
                  </pic:blipFill>
                  <pic:spPr>
                    <a:xfrm>
                      <a:off x="0" y="0"/>
                      <a:ext cx="4358005" cy="2519045"/>
                    </a:xfrm>
                    <a:prstGeom prst="rect">
                      <a:avLst/>
                    </a:prstGeom>
                    <a:noFill/>
                    <a:ln w="9525">
                      <a:noFill/>
                    </a:ln>
                  </pic:spPr>
                </pic:pic>
              </a:graphicData>
            </a:graphic>
          </wp:inline>
        </w:drawing>
      </w:r>
    </w:p>
    <w:p>
      <w:pPr>
        <w:widowControl/>
        <w:jc w:val="center"/>
        <w:rPr>
          <w:rFonts w:ascii="宋体" w:hAnsi="宋体" w:cs="宋体"/>
          <w:b/>
          <w:color w:val="000000"/>
          <w:kern w:val="0"/>
          <w:szCs w:val="21"/>
        </w:rPr>
      </w:pPr>
      <w:r>
        <w:rPr>
          <w:rFonts w:hint="eastAsia" w:ascii="宋体" w:hAnsi="宋体" w:cs="宋体"/>
          <w:b/>
          <w:color w:val="000000"/>
          <w:kern w:val="0"/>
          <w:szCs w:val="21"/>
        </w:rPr>
        <w:t>图3-21 信息化教学方式方法应用从试点走向常态</w:t>
      </w:r>
    </w:p>
    <w:p>
      <w:pPr>
        <w:pStyle w:val="4"/>
        <w:spacing w:before="156" w:after="156"/>
        <w:ind w:firstLine="562"/>
        <w:rPr>
          <w:color w:val="000000" w:themeColor="text1"/>
        </w:rPr>
      </w:pPr>
      <w:bookmarkStart w:id="145" w:name="_Toc483819365"/>
      <w:bookmarkStart w:id="146" w:name="_Toc21799"/>
      <w:bookmarkStart w:id="147" w:name="_Toc19021"/>
      <w:r>
        <w:rPr>
          <w:rFonts w:hint="eastAsia"/>
          <w:color w:val="000000" w:themeColor="text1"/>
        </w:rPr>
        <w:t>（2）实施流程再造式教学管理</w:t>
      </w:r>
      <w:bookmarkEnd w:id="145"/>
      <w:r>
        <w:rPr>
          <w:rFonts w:hint="eastAsia"/>
          <w:color w:val="000000" w:themeColor="text1"/>
        </w:rPr>
        <w:t>助力信息化教学方法应用</w:t>
      </w:r>
      <w:bookmarkEnd w:id="146"/>
      <w:bookmarkEnd w:id="147"/>
    </w:p>
    <w:p>
      <w:pPr>
        <w:adjustRightInd w:val="0"/>
        <w:snapToGrid w:val="0"/>
        <w:spacing w:line="360" w:lineRule="auto"/>
        <w:ind w:firstLine="480" w:firstLineChars="200"/>
        <w:rPr>
          <w:rFonts w:ascii="宋体" w:hAnsi="宋体"/>
          <w:sz w:val="24"/>
        </w:rPr>
      </w:pPr>
      <w:r>
        <w:rPr>
          <w:rFonts w:hint="eastAsia" w:ascii="宋体" w:hAnsi="宋体"/>
          <w:sz w:val="24"/>
        </w:rPr>
        <w:t>依据高职教育规律，坚持实用、优化、特色三种原则，针对教师考核评价不科学、顶岗实习管理难等现实问题，自2012年下半年始，创建“教务管理”、“教学督导”、“德馨园”等教育教学主题空间，推行基于云空间的教师教学资料审核、顶岗实习与毕业设计等管理，通过开发小插件实现对教师临时调课等教务工作进行流程再造管理；自2013年上半年始，推行文化选修和自修课基于空间教学与课程考核的教学模式改革，实行“线上线下”、“现场讲座与在线指导”相结合的教学组织方式。2014年，线上线下学习相结合教学方式逐步推行到部分必修课程和订单培养班教学。2016年，开始探索校内和校际间学分（课分）互认机制。按照四个流程再造基本步骤（见图3-22），结合各个岗位工作特色，实施基于云平台的教务流程再造管理，加强教学过程监控与考核。</w:t>
      </w:r>
    </w:p>
    <w:p>
      <w:pPr>
        <w:adjustRightInd w:val="0"/>
        <w:snapToGrid w:val="0"/>
        <w:spacing w:line="360" w:lineRule="auto"/>
        <w:rPr>
          <w:rFonts w:ascii="宋体" w:hAnsi="宋体"/>
          <w:sz w:val="24"/>
        </w:rPr>
      </w:pPr>
      <w:r>
        <w:rPr>
          <w:rFonts w:hint="eastAsia" w:ascii="宋体" w:hAnsi="宋体"/>
          <w:sz w:val="24"/>
        </w:rPr>
        <w:drawing>
          <wp:inline distT="0" distB="0" distL="114300" distR="114300">
            <wp:extent cx="5269230" cy="1767840"/>
            <wp:effectExtent l="0" t="0" r="7620" b="3810"/>
            <wp:docPr id="80" name="图片 14" descr="说明: C:\Users\Administrator\AppData\Roaming\Tencent\Users\281735171\QQ\WinTemp\RichOle\$~WMXY4S9]4A80@QO{D)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descr="说明: C:\Users\Administrator\AppData\Roaming\Tencent\Users\281735171\QQ\WinTemp\RichOle\$~WMXY4S9]4A80@QO{D)_~G.png"/>
                    <pic:cNvPicPr>
                      <a:picLocks noChangeAspect="1"/>
                    </pic:cNvPicPr>
                  </pic:nvPicPr>
                  <pic:blipFill>
                    <a:blip r:embed="rId62"/>
                    <a:stretch>
                      <a:fillRect/>
                    </a:stretch>
                  </pic:blipFill>
                  <pic:spPr>
                    <a:xfrm>
                      <a:off x="0" y="0"/>
                      <a:ext cx="5269230" cy="1767840"/>
                    </a:xfrm>
                    <a:prstGeom prst="rect">
                      <a:avLst/>
                    </a:prstGeom>
                    <a:noFill/>
                    <a:ln w="9525">
                      <a:noFill/>
                    </a:ln>
                  </pic:spPr>
                </pic:pic>
              </a:graphicData>
            </a:graphic>
          </wp:inline>
        </w:drawing>
      </w:r>
    </w:p>
    <w:p>
      <w:pPr>
        <w:widowControl/>
        <w:jc w:val="center"/>
        <w:rPr>
          <w:rFonts w:ascii="宋体" w:hAnsi="宋体" w:cs="宋体"/>
          <w:b/>
          <w:color w:val="000000"/>
          <w:kern w:val="0"/>
          <w:szCs w:val="21"/>
        </w:rPr>
      </w:pPr>
      <w:r>
        <w:rPr>
          <w:rFonts w:hint="eastAsia" w:ascii="宋体" w:hAnsi="宋体" w:cs="宋体"/>
          <w:b/>
          <w:color w:val="000000"/>
          <w:kern w:val="0"/>
          <w:szCs w:val="21"/>
        </w:rPr>
        <w:t>图3-22流程再造教学管理实施基本范式</w:t>
      </w:r>
    </w:p>
    <w:p>
      <w:pPr>
        <w:pStyle w:val="4"/>
        <w:spacing w:before="156" w:after="156"/>
        <w:ind w:firstLine="562"/>
        <w:rPr>
          <w:color w:val="000000" w:themeColor="text1"/>
        </w:rPr>
      </w:pPr>
      <w:bookmarkStart w:id="148" w:name="_Toc483819366"/>
      <w:bookmarkStart w:id="149" w:name="_Toc2077"/>
      <w:bookmarkStart w:id="150" w:name="_Toc31735"/>
      <w:r>
        <w:rPr>
          <w:rFonts w:hint="eastAsia"/>
          <w:color w:val="000000" w:themeColor="text1"/>
        </w:rPr>
        <w:t>（3）构建四项长效机制促进信息化教学应用</w:t>
      </w:r>
      <w:bookmarkEnd w:id="148"/>
      <w:r>
        <w:rPr>
          <w:rFonts w:hint="eastAsia"/>
          <w:color w:val="000000" w:themeColor="text1"/>
        </w:rPr>
        <w:t>持续推进</w:t>
      </w:r>
      <w:bookmarkEnd w:id="149"/>
      <w:bookmarkEnd w:id="150"/>
    </w:p>
    <w:p>
      <w:pPr>
        <w:adjustRightInd w:val="0"/>
        <w:snapToGrid w:val="0"/>
        <w:spacing w:line="360" w:lineRule="auto"/>
        <w:ind w:firstLine="480" w:firstLineChars="200"/>
        <w:rPr>
          <w:rFonts w:ascii="宋体" w:hAnsi="宋体"/>
          <w:sz w:val="24"/>
        </w:rPr>
      </w:pPr>
      <w:r>
        <w:rPr>
          <w:rFonts w:hint="eastAsia" w:ascii="宋体" w:hAnsi="宋体"/>
          <w:sz w:val="24"/>
        </w:rPr>
        <w:t>按照“宣传动员，培训推进”的工作思路，将信息化教学理念培训和信息技术应用能力纳入教师继续教育培训体系，让每一位专任教师和每届新生每年都有且必须参加培训；采取“应用导向，项目驱动”的工作机制，每年系统设计、统筹安排、合理布局展开信息化教学项目与竞赛活动，将信息化技术应用与日常教学改革融合；依据“系统设计、分步指导、由试点到常态化”的工作策略，不断修订和完善学院各项信息化管理制度和相应的奖惩激励机制，推行了《教师信息化教学应用能力标准》（见图3-23）；将信息化建设工作情况纳入年度考核，信息化教学竞赛与项目建设列入职称评定、评优评选指标体系，形成“培训促进、项目驱动、考核激励、标准引领”的长效机制，确保了 “1+n”信息化教学方式方法应用模式持续推进。</w:t>
      </w:r>
    </w:p>
    <w:p>
      <w:pPr>
        <w:adjustRightInd w:val="0"/>
        <w:snapToGrid w:val="0"/>
        <w:spacing w:line="360" w:lineRule="auto"/>
        <w:ind w:firstLine="480" w:firstLineChars="200"/>
        <w:jc w:val="left"/>
        <w:rPr>
          <w:rFonts w:ascii="宋体" w:hAnsi="宋体"/>
          <w:sz w:val="24"/>
        </w:rPr>
      </w:pPr>
      <w:r>
        <w:rPr>
          <w:rFonts w:hint="eastAsia" w:ascii="宋体" w:hAnsi="宋体"/>
          <w:sz w:val="24"/>
        </w:rPr>
        <w:drawing>
          <wp:inline distT="0" distB="0" distL="114300" distR="114300">
            <wp:extent cx="4852035" cy="2073910"/>
            <wp:effectExtent l="0" t="0" r="5715" b="2540"/>
            <wp:docPr id="79" name="图片 15" descr="@_5Q4)(4RC9S6I5L_B`6T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5" descr="@_5Q4)(4RC9S6I5L_B`6TFX"/>
                    <pic:cNvPicPr>
                      <a:picLocks noChangeAspect="1"/>
                    </pic:cNvPicPr>
                  </pic:nvPicPr>
                  <pic:blipFill>
                    <a:blip r:embed="rId63"/>
                    <a:stretch>
                      <a:fillRect/>
                    </a:stretch>
                  </pic:blipFill>
                  <pic:spPr>
                    <a:xfrm>
                      <a:off x="0" y="0"/>
                      <a:ext cx="4852035" cy="2073910"/>
                    </a:xfrm>
                    <a:prstGeom prst="rect">
                      <a:avLst/>
                    </a:prstGeom>
                    <a:noFill/>
                    <a:ln w="9525">
                      <a:noFill/>
                    </a:ln>
                  </pic:spPr>
                </pic:pic>
              </a:graphicData>
            </a:graphic>
          </wp:inline>
        </w:drawing>
      </w:r>
    </w:p>
    <w:p>
      <w:pPr>
        <w:widowControl/>
        <w:jc w:val="center"/>
        <w:rPr>
          <w:rFonts w:ascii="宋体" w:hAnsi="宋体" w:cs="宋体"/>
          <w:b/>
          <w:color w:val="000000"/>
          <w:kern w:val="0"/>
          <w:szCs w:val="21"/>
        </w:rPr>
      </w:pPr>
      <w:r>
        <w:rPr>
          <w:rFonts w:hint="eastAsia" w:ascii="宋体" w:hAnsi="宋体" w:cs="宋体"/>
          <w:b/>
          <w:color w:val="000000"/>
          <w:kern w:val="0"/>
          <w:szCs w:val="21"/>
        </w:rPr>
        <w:t>图3-23 学院印发教师信息化教学应用能力测试工作方案的通知文件</w:t>
      </w:r>
    </w:p>
    <w:p>
      <w:pPr>
        <w:adjustRightInd w:val="0"/>
        <w:snapToGrid w:val="0"/>
        <w:spacing w:line="360" w:lineRule="auto"/>
        <w:ind w:firstLine="480" w:firstLineChars="200"/>
        <w:rPr>
          <w:rFonts w:ascii="宋体" w:hAnsi="宋体"/>
          <w:sz w:val="24"/>
        </w:rPr>
      </w:pPr>
    </w:p>
    <w:p>
      <w:pPr>
        <w:adjustRightInd w:val="0"/>
        <w:snapToGrid w:val="0"/>
        <w:spacing w:line="360" w:lineRule="auto"/>
        <w:ind w:firstLine="480" w:firstLineChars="200"/>
        <w:rPr>
          <w:rFonts w:ascii="宋体" w:hAnsi="宋体"/>
          <w:sz w:val="24"/>
        </w:rPr>
      </w:pPr>
      <w:r>
        <w:rPr>
          <w:rFonts w:hint="eastAsia" w:ascii="宋体" w:hAnsi="宋体"/>
          <w:sz w:val="24"/>
        </w:rPr>
        <w:t>近五年来，教师参加省级以上信息化教学大赛、微课比赛获奖82项，获奖率98%，其中，国家级一等奖3项，二等奖7项，省级一等奖15项；省级团体一等奖2项；刘小忠、李菡、肖爱武等15位一线教师成为信息化教学培训师。学院教师在信息化教学实践中出版专著2部，参编2部（见图3-24），公开发表论文120余篇，主持省级以上相关课题30余项。</w:t>
      </w:r>
    </w:p>
    <w:p>
      <w:pPr>
        <w:spacing w:line="360" w:lineRule="auto"/>
        <w:ind w:firstLine="660"/>
        <w:rPr>
          <w:rFonts w:ascii="宋体" w:hAnsi="宋体" w:cs="宋体"/>
          <w:sz w:val="24"/>
        </w:rPr>
      </w:pPr>
      <w:r>
        <w:rPr>
          <w:rFonts w:ascii="宋体" w:hAnsi="宋体" w:cs="宋体"/>
          <w:sz w:val="24"/>
        </w:rPr>
        <w:pict>
          <v:shape id="文本框 8" o:spid="_x0000_s1026" o:spt="202" type="#_x0000_t202" style="height:194.4pt;width:394.15pt;mso-wrap-style:none;" fillcolor="#BBD5F0" filled="t" stroked="f" coordsize="21600,21600" o:gfxdata="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rcvb1gAAAAUBAAAPAAAAAAAA&#10;AAEAIAAAACIAAABkcnMvZG93bnJldi54bWxQSwECFAAUAAAACACHTuJAZMS4/RQCAAALBAAADgAA&#10;AAAAAAABACAAAAAlAQAAZHJzL2Uyb0RvYy54bWxQSwUGAAAAAAYABgBZAQAAqwUAAAAA&#10;">
            <v:path/>
            <v:fill type="gradient" on="t" focus="100%" focussize="0f,0f">
              <o:fill type="gradientUnscaled" v:ext="backwardCompatible"/>
            </v:fill>
            <v:stroke on="f" weight="1.25pt" joinstyle="miter"/>
            <v:imagedata o:title=""/>
            <o:lock v:ext="edit"/>
            <v:textbox style="mso-fit-shape-to-text:t;">
              <w:txbxContent>
                <w:p>
                  <w:r>
                    <w:drawing>
                      <wp:inline distT="0" distB="0" distL="114300" distR="114300">
                        <wp:extent cx="4822825" cy="2250440"/>
                        <wp:effectExtent l="0" t="0" r="15875" b="16510"/>
                        <wp:docPr id="81" name="图片 16" descr="说明: E:\LLPP\科研\2017年省级教学成果申报材料\支撑材料\信息化案例集图片等\DSC03598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descr="说明: E:\LLPP\科研\2017年省级教学成果申报材料\支撑材料\信息化案例集图片等\DSC03598副本.jpg"/>
                                <pic:cNvPicPr>
                                  <a:picLocks noChangeAspect="1"/>
                                </pic:cNvPicPr>
                              </pic:nvPicPr>
                              <pic:blipFill>
                                <a:blip r:embed="rId64"/>
                                <a:stretch>
                                  <a:fillRect/>
                                </a:stretch>
                              </pic:blipFill>
                              <pic:spPr>
                                <a:xfrm>
                                  <a:off x="0" y="0"/>
                                  <a:ext cx="4822825" cy="2250440"/>
                                </a:xfrm>
                                <a:prstGeom prst="rect">
                                  <a:avLst/>
                                </a:prstGeom>
                                <a:noFill/>
                                <a:ln w="9525">
                                  <a:noFill/>
                                </a:ln>
                              </pic:spPr>
                            </pic:pic>
                          </a:graphicData>
                        </a:graphic>
                      </wp:inline>
                    </w:drawing>
                  </w:r>
                </w:p>
              </w:txbxContent>
            </v:textbox>
            <w10:wrap type="none"/>
            <w10:anchorlock/>
          </v:shape>
        </w:pict>
      </w:r>
    </w:p>
    <w:p>
      <w:pPr>
        <w:widowControl/>
        <w:jc w:val="center"/>
        <w:rPr>
          <w:rFonts w:ascii="宋体" w:hAnsi="宋体" w:cs="宋体"/>
          <w:b/>
          <w:color w:val="000000"/>
          <w:kern w:val="0"/>
          <w:szCs w:val="21"/>
        </w:rPr>
      </w:pPr>
      <w:r>
        <w:rPr>
          <w:rFonts w:hint="eastAsia" w:ascii="宋体" w:hAnsi="宋体" w:cs="宋体"/>
          <w:b/>
          <w:color w:val="000000"/>
          <w:kern w:val="0"/>
          <w:szCs w:val="21"/>
        </w:rPr>
        <w:t>图3-24 学院教师编著或参编理论著作和期刊专栏样图</w:t>
      </w:r>
    </w:p>
    <w:p>
      <w:pPr>
        <w:widowControl/>
        <w:jc w:val="center"/>
        <w:rPr>
          <w:rFonts w:ascii="宋体" w:hAnsi="宋体" w:cs="宋体"/>
          <w:b/>
          <w:color w:val="000000"/>
          <w:kern w:val="0"/>
          <w:szCs w:val="21"/>
        </w:rPr>
      </w:pPr>
    </w:p>
    <w:p>
      <w:pPr>
        <w:pStyle w:val="4"/>
        <w:spacing w:before="156" w:after="156"/>
        <w:ind w:firstLine="0" w:firstLineChars="0"/>
        <w:rPr>
          <w:color w:val="auto"/>
        </w:rPr>
      </w:pPr>
      <w:bookmarkStart w:id="151" w:name="_Toc31640"/>
      <w:bookmarkStart w:id="152" w:name="_Toc2660"/>
      <w:r>
        <w:rPr>
          <w:rFonts w:hint="eastAsia"/>
          <w:color w:val="auto"/>
        </w:rPr>
        <w:t>【典型案例22】学院教师参加2017年全国职业院校信息化教学大赛喜获佳绩</w:t>
      </w:r>
      <w:bookmarkEnd w:id="151"/>
      <w:bookmarkEnd w:id="152"/>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11月25日至27日，2017年全国职业院校信息化教学大赛在济南举行，我校派出的三个参赛代表队均喜获佳绩：罗惜春、邓滢、王新利代表队在信息化课堂教学赛项上喜获一等奖。余小光、张翔、刘小忠代表队和郭君、杨孝辉代表队在信息化教学设计赛项上分别喜获二等奖和三等奖。据悉，大赛共分为中等职业教育组、高等职业教育组和军事职业组。每组均设立信息化教学设计赛项、信息化课堂教学赛项、信息化实训教学赛项。今年共有372件参赛作品入围现场决赛，其中，中职组信息化教学设计比赛117件，信息化课堂教学比赛51件，信息化实训教学比赛31件；高职组信息化教学设计比赛102件，信息化课堂教学比赛44件，信息化实训教学比赛27件。本次大赛各赛项（含高职组、中职组、军事职业教育组三个组别的信息化教学设计、信息化课堂教学、信息化实训教学赛项）共决出一等奖160名，二等奖240名，三等奖415名。</w:t>
      </w:r>
    </w:p>
    <w:p>
      <w:pPr>
        <w:spacing w:line="360" w:lineRule="auto"/>
        <w:jc w:val="center"/>
        <w:rPr>
          <w:rFonts w:ascii="宋体" w:hAnsi="宋体" w:eastAsia="宋体" w:cs="宋体"/>
          <w:sz w:val="24"/>
        </w:rPr>
      </w:pPr>
      <w:r>
        <w:rPr>
          <w:rFonts w:ascii="宋体" w:hAnsi="宋体" w:eastAsia="宋体" w:cs="宋体"/>
          <w:sz w:val="24"/>
          <w:szCs w:val="24"/>
        </w:rPr>
        <w:drawing>
          <wp:inline distT="0" distB="0" distL="114300" distR="114300">
            <wp:extent cx="4762500" cy="3038475"/>
            <wp:effectExtent l="0" t="0" r="0" b="9525"/>
            <wp:docPr id="3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56"/>
                    <pic:cNvPicPr>
                      <a:picLocks noChangeAspect="1"/>
                    </pic:cNvPicPr>
                  </pic:nvPicPr>
                  <pic:blipFill>
                    <a:blip r:embed="rId65"/>
                    <a:stretch>
                      <a:fillRect/>
                    </a:stretch>
                  </pic:blipFill>
                  <pic:spPr>
                    <a:xfrm>
                      <a:off x="0" y="0"/>
                      <a:ext cx="4762500" cy="3038475"/>
                    </a:xfrm>
                    <a:prstGeom prst="rect">
                      <a:avLst/>
                    </a:prstGeom>
                    <a:noFill/>
                    <a:ln w="9525">
                      <a:noFill/>
                    </a:ln>
                  </pic:spPr>
                </pic:pic>
              </a:graphicData>
            </a:graphic>
          </wp:inline>
        </w:drawing>
      </w:r>
    </w:p>
    <w:p>
      <w:pPr>
        <w:jc w:val="center"/>
      </w:pPr>
      <w:r>
        <w:rPr>
          <w:rFonts w:hint="eastAsia" w:ascii="宋体" w:hAnsi="宋体"/>
          <w:b/>
          <w:szCs w:val="21"/>
        </w:rPr>
        <w:t>图3-25学院领导与参</w:t>
      </w:r>
      <w:r>
        <w:rPr>
          <w:rFonts w:hint="eastAsia" w:ascii="宋体" w:hAnsi="宋体"/>
          <w:b/>
          <w:szCs w:val="21"/>
          <w:lang w:eastAsia="zh-CN"/>
        </w:rPr>
        <w:t>加国赛决赛</w:t>
      </w:r>
      <w:r>
        <w:rPr>
          <w:rFonts w:hint="eastAsia" w:ascii="宋体" w:hAnsi="宋体"/>
          <w:b/>
          <w:szCs w:val="21"/>
        </w:rPr>
        <w:t>团队成员</w:t>
      </w:r>
      <w:r>
        <w:rPr>
          <w:rFonts w:hint="eastAsia" w:ascii="宋体" w:hAnsi="宋体"/>
          <w:b/>
          <w:szCs w:val="21"/>
          <w:lang w:eastAsia="zh-CN"/>
        </w:rPr>
        <w:t>在赛场外</w:t>
      </w:r>
      <w:r>
        <w:rPr>
          <w:rFonts w:hint="eastAsia" w:ascii="宋体" w:hAnsi="宋体"/>
          <w:b/>
          <w:szCs w:val="21"/>
        </w:rPr>
        <w:t>合影</w:t>
      </w:r>
    </w:p>
    <w:p>
      <w:pPr>
        <w:pStyle w:val="4"/>
        <w:spacing w:before="156" w:after="156"/>
        <w:ind w:firstLine="0" w:firstLineChars="0"/>
        <w:rPr>
          <w:color w:val="auto"/>
        </w:rPr>
      </w:pPr>
      <w:bookmarkStart w:id="153" w:name="_Toc8078"/>
      <w:bookmarkStart w:id="154" w:name="_Toc14276"/>
      <w:r>
        <w:rPr>
          <w:rFonts w:hint="eastAsia"/>
          <w:color w:val="auto"/>
        </w:rPr>
        <w:t>【典型案例23】学院在省信息化教学大赛中获一等奖5项</w:t>
      </w:r>
      <w:bookmarkEnd w:id="153"/>
      <w:bookmarkEnd w:id="154"/>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7月16日至7月18日，由湖南省教育厅主办的2017年湖南省信息化教学大赛隆重举行。本届大赛设立了信息化教学设计、信息化课堂教学和信息化实训教学三个赛项。今年是我省近年来信息化教学大赛参赛作品数量最多的一年，全省共报送了911件参赛作品，其中，高职组共计453件，中职组458件。初赛环节遴选出115件作品进入决赛。我院以总分第一的成绩获2017年湖南省信息化教学大赛团体一等奖。个人赛项中，获得一等奖4项，二等奖8项，三等奖7项。</w:t>
      </w:r>
    </w:p>
    <w:p>
      <w:pPr>
        <w:pStyle w:val="3"/>
      </w:pPr>
      <w:bookmarkStart w:id="155" w:name="_Toc19542"/>
      <w:bookmarkStart w:id="156" w:name="_Toc24243"/>
      <w:r>
        <w:rPr>
          <w:rFonts w:hint="eastAsia"/>
        </w:rPr>
        <w:t>3.9 质量保障措施</w:t>
      </w:r>
      <w:bookmarkEnd w:id="155"/>
      <w:bookmarkEnd w:id="156"/>
    </w:p>
    <w:p>
      <w:pPr>
        <w:pStyle w:val="4"/>
        <w:spacing w:before="156" w:after="156"/>
        <w:ind w:firstLine="562"/>
        <w:rPr>
          <w:color w:val="000000" w:themeColor="text1"/>
        </w:rPr>
      </w:pPr>
      <w:bookmarkStart w:id="157" w:name="_Toc9613"/>
      <w:bookmarkStart w:id="158" w:name="_Toc19600"/>
      <w:r>
        <w:rPr>
          <w:rFonts w:hint="eastAsia"/>
          <w:color w:val="000000" w:themeColor="text1"/>
        </w:rPr>
        <w:t>（1）以内部诊改深化质量意识</w:t>
      </w:r>
      <w:bookmarkEnd w:id="157"/>
      <w:bookmarkEnd w:id="158"/>
    </w:p>
    <w:p>
      <w:pPr>
        <w:adjustRightInd w:val="0"/>
        <w:snapToGrid w:val="0"/>
        <w:spacing w:line="360" w:lineRule="auto"/>
        <w:ind w:firstLine="480" w:firstLineChars="200"/>
        <w:rPr>
          <w:rFonts w:ascii="宋体" w:hAnsi="宋体"/>
          <w:sz w:val="24"/>
        </w:rPr>
      </w:pPr>
      <w:r>
        <w:rPr>
          <w:rFonts w:hint="eastAsia" w:ascii="宋体" w:hAnsi="宋体" w:cs="宋体"/>
          <w:color w:val="000000"/>
          <w:kern w:val="0"/>
          <w:sz w:val="24"/>
          <w:lang w:val="zh-CN"/>
        </w:rPr>
        <w:t>科学制定了学院年度质量目标、标准和制度体系，明确了各二级单位质量保障的责任。</w:t>
      </w:r>
      <w:r>
        <w:rPr>
          <w:rFonts w:hint="eastAsia" w:ascii="宋体" w:hAnsi="宋体"/>
          <w:sz w:val="24"/>
        </w:rPr>
        <w:t>坚持以质量为核心，将诊改工作与常规工作相融合，促进院校内部治理形态、教学形态、组织形态和办学形态的转变，助力学院内涵发展。</w:t>
      </w:r>
    </w:p>
    <w:p>
      <w:pPr>
        <w:pStyle w:val="4"/>
        <w:spacing w:before="156" w:after="156"/>
        <w:ind w:firstLine="562"/>
        <w:rPr>
          <w:color w:val="000000" w:themeColor="text1"/>
        </w:rPr>
      </w:pPr>
      <w:bookmarkStart w:id="159" w:name="_Toc1659"/>
      <w:bookmarkStart w:id="160" w:name="_Toc914"/>
      <w:r>
        <w:rPr>
          <w:rFonts w:hint="eastAsia"/>
          <w:color w:val="000000" w:themeColor="text1"/>
        </w:rPr>
        <w:t>（2）以专项督导深化质量效益</w:t>
      </w:r>
      <w:bookmarkEnd w:id="159"/>
      <w:bookmarkEnd w:id="160"/>
    </w:p>
    <w:p>
      <w:pPr>
        <w:adjustRightInd w:val="0"/>
        <w:snapToGrid w:val="0"/>
        <w:spacing w:line="360" w:lineRule="auto"/>
        <w:ind w:firstLine="480" w:firstLineChars="200"/>
        <w:rPr>
          <w:rFonts w:ascii="宋体" w:hAnsi="宋体"/>
          <w:sz w:val="24"/>
        </w:rPr>
      </w:pPr>
      <w:r>
        <w:rPr>
          <w:rFonts w:hint="eastAsia" w:ascii="宋体" w:hAnsi="宋体"/>
          <w:sz w:val="24"/>
        </w:rPr>
        <w:t>学院督导处通过行政督导、教学督导、项目督导和常规检查等方式，定期或不定期地对各专项工作进行检查，给予评价并提出建设性意见，为推进学院工作提供依据，保证学院规章制度的贯彻执行和工作目标的实现。</w:t>
      </w:r>
    </w:p>
    <w:p>
      <w:pPr>
        <w:adjustRightInd w:val="0"/>
        <w:snapToGrid w:val="0"/>
        <w:jc w:val="center"/>
        <w:rPr>
          <w:rFonts w:ascii="宋体" w:hAnsi="宋体"/>
          <w:b/>
          <w:szCs w:val="21"/>
        </w:rPr>
      </w:pPr>
      <w:r>
        <w:drawing>
          <wp:anchor distT="0" distB="0" distL="114300" distR="114300" simplePos="0" relativeHeight="251658240" behindDoc="0" locked="0" layoutInCell="1" allowOverlap="1">
            <wp:simplePos x="0" y="0"/>
            <wp:positionH relativeFrom="column">
              <wp:posOffset>186055</wp:posOffset>
            </wp:positionH>
            <wp:positionV relativeFrom="paragraph">
              <wp:posOffset>39370</wp:posOffset>
            </wp:positionV>
            <wp:extent cx="4695825" cy="2466975"/>
            <wp:effectExtent l="4445" t="4445" r="5080" b="5080"/>
            <wp:wrapTopAndBottom/>
            <wp:docPr id="4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Pr>
          <w:rFonts w:hint="eastAsia" w:ascii="宋体" w:hAnsi="宋体"/>
          <w:b/>
          <w:szCs w:val="21"/>
        </w:rPr>
        <w:t>图3-26 学院2016-2017学年教师听课评级分布图</w:t>
      </w:r>
    </w:p>
    <w:p>
      <w:pPr>
        <w:adjustRightInd w:val="0"/>
        <w:snapToGrid w:val="0"/>
        <w:jc w:val="right"/>
        <w:rPr>
          <w:rFonts w:ascii="宋体" w:hAnsi="宋体"/>
          <w:b/>
          <w:szCs w:val="21"/>
        </w:rPr>
      </w:pPr>
      <w:r>
        <w:rPr>
          <w:rFonts w:hint="eastAsia" w:ascii="宋体" w:hAnsi="宋体" w:eastAsia="宋体" w:cs="宋体"/>
          <w:b/>
        </w:rPr>
        <w:t>数据来源：学院督导处</w:t>
      </w:r>
    </w:p>
    <w:p>
      <w:pPr>
        <w:spacing w:line="360" w:lineRule="auto"/>
        <w:ind w:left="-359" w:leftChars="-171"/>
        <w:jc w:val="center"/>
      </w:pPr>
      <w:r>
        <w:drawing>
          <wp:inline distT="0" distB="0" distL="114300" distR="114300">
            <wp:extent cx="4638675" cy="2020570"/>
            <wp:effectExtent l="4445" t="4445" r="5080" b="13335"/>
            <wp:docPr id="4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jc w:val="center"/>
        <w:rPr>
          <w:rFonts w:ascii="宋体" w:hAnsi="宋体"/>
          <w:b/>
          <w:szCs w:val="21"/>
        </w:rPr>
      </w:pPr>
      <w:r>
        <w:rPr>
          <w:rFonts w:hint="eastAsia" w:ascii="宋体" w:hAnsi="宋体"/>
          <w:b/>
          <w:szCs w:val="21"/>
        </w:rPr>
        <w:t>图3-272016-2017学年学生到课率抽样情况</w:t>
      </w:r>
    </w:p>
    <w:p>
      <w:pPr>
        <w:adjustRightInd w:val="0"/>
        <w:snapToGrid w:val="0"/>
        <w:jc w:val="right"/>
        <w:rPr>
          <w:rFonts w:ascii="宋体" w:hAnsi="宋体"/>
          <w:b/>
          <w:szCs w:val="21"/>
        </w:rPr>
      </w:pPr>
      <w:r>
        <w:rPr>
          <w:rFonts w:hint="eastAsia" w:ascii="宋体" w:hAnsi="宋体" w:eastAsia="宋体" w:cs="宋体"/>
          <w:b/>
        </w:rPr>
        <w:t>数据来源：学院督导处</w:t>
      </w:r>
    </w:p>
    <w:p>
      <w:pPr>
        <w:adjustRightInd w:val="0"/>
        <w:snapToGrid w:val="0"/>
        <w:spacing w:line="360" w:lineRule="auto"/>
        <w:rPr>
          <w:rFonts w:asciiTheme="minorEastAsia" w:hAnsiTheme="minorEastAsia" w:cstheme="minorEastAsia"/>
          <w:b/>
          <w:bCs/>
          <w:sz w:val="28"/>
          <w:szCs w:val="28"/>
        </w:rPr>
      </w:pPr>
      <w:r>
        <w:rPr>
          <w:rFonts w:hint="eastAsia" w:asciiTheme="minorEastAsia" w:hAnsiTheme="minorEastAsia" w:cstheme="minorEastAsia"/>
          <w:b/>
          <w:bCs/>
          <w:sz w:val="28"/>
          <w:szCs w:val="28"/>
        </w:rPr>
        <w:br w:type="page"/>
      </w:r>
    </w:p>
    <w:p>
      <w:pPr>
        <w:pStyle w:val="2"/>
        <w:rPr>
          <w:rFonts w:hint="default"/>
        </w:rPr>
      </w:pPr>
      <w:bookmarkStart w:id="161" w:name="_Toc21364"/>
      <w:r>
        <w:t>4 政策保障</w:t>
      </w:r>
      <w:bookmarkEnd w:id="161"/>
    </w:p>
    <w:p>
      <w:pPr>
        <w:pStyle w:val="3"/>
      </w:pPr>
      <w:bookmarkStart w:id="162" w:name="_Toc24809"/>
      <w:bookmarkStart w:id="163" w:name="_Toc2976"/>
      <w:r>
        <w:rPr>
          <w:rFonts w:hint="eastAsia"/>
        </w:rPr>
        <w:t>4.1政策落实表</w:t>
      </w:r>
      <w:bookmarkEnd w:id="162"/>
      <w:bookmarkEnd w:id="163"/>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2016年，学院立项省级卓越高职院校项目；2017年，省级教育行政部门采取了一些列措施，从政策、经费等多个方面给予学院发展支持。</w:t>
      </w:r>
    </w:p>
    <w:p>
      <w:pPr>
        <w:jc w:val="center"/>
        <w:rPr>
          <w:rFonts w:ascii="宋体" w:hAnsi="宋体"/>
          <w:b/>
          <w:szCs w:val="21"/>
        </w:rPr>
      </w:pPr>
      <w:r>
        <w:rPr>
          <w:rFonts w:hint="eastAsia" w:ascii="宋体" w:hAnsi="宋体"/>
          <w:b/>
          <w:szCs w:val="21"/>
        </w:rPr>
        <w:t>表4-1 落实政策表</w:t>
      </w:r>
    </w:p>
    <w:tbl>
      <w:tblPr>
        <w:tblStyle w:val="18"/>
        <w:tblW w:w="9324" w:type="dxa"/>
        <w:jc w:val="center"/>
        <w:tblInd w:w="94" w:type="dxa"/>
        <w:tblLayout w:type="fixed"/>
        <w:tblCellMar>
          <w:top w:w="0" w:type="dxa"/>
          <w:left w:w="108" w:type="dxa"/>
          <w:bottom w:w="0" w:type="dxa"/>
          <w:right w:w="108" w:type="dxa"/>
        </w:tblCellMar>
      </w:tblPr>
      <w:tblGrid>
        <w:gridCol w:w="851"/>
        <w:gridCol w:w="852"/>
        <w:gridCol w:w="425"/>
        <w:gridCol w:w="3832"/>
        <w:gridCol w:w="996"/>
        <w:gridCol w:w="1149"/>
        <w:gridCol w:w="1219"/>
      </w:tblGrid>
      <w:tr>
        <w:tblPrEx>
          <w:tblLayout w:type="fixed"/>
          <w:tblCellMar>
            <w:top w:w="0" w:type="dxa"/>
            <w:left w:w="108" w:type="dxa"/>
            <w:bottom w:w="0" w:type="dxa"/>
            <w:right w:w="108" w:type="dxa"/>
          </w:tblCellMar>
        </w:tblPrEx>
        <w:trPr>
          <w:trHeight w:val="480" w:hRule="atLeast"/>
          <w:jc w:val="center"/>
        </w:trPr>
        <w:tc>
          <w:tcPr>
            <w:tcW w:w="851"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仿宋" w:hAnsi="仿宋" w:eastAsia="仿宋" w:cs="宋体"/>
                <w:b/>
                <w:bCs/>
                <w:kern w:val="0"/>
                <w:sz w:val="24"/>
              </w:rPr>
            </w:pPr>
            <w:r>
              <w:rPr>
                <w:rFonts w:hint="eastAsia" w:ascii="仿宋" w:hAnsi="仿宋" w:eastAsia="仿宋" w:cs="宋体"/>
                <w:b/>
                <w:bCs/>
                <w:kern w:val="0"/>
                <w:sz w:val="24"/>
              </w:rPr>
              <w:t>院校代码</w:t>
            </w:r>
          </w:p>
        </w:tc>
        <w:tc>
          <w:tcPr>
            <w:tcW w:w="852" w:type="dxa"/>
            <w:tcBorders>
              <w:top w:val="single" w:color="auto" w:sz="4" w:space="0"/>
              <w:left w:val="nil"/>
              <w:bottom w:val="single" w:color="auto" w:sz="4" w:space="0"/>
              <w:right w:val="single" w:color="auto" w:sz="4" w:space="0"/>
            </w:tcBorders>
            <w:shd w:val="clear" w:color="000000" w:fill="FFFFFF"/>
            <w:vAlign w:val="center"/>
          </w:tcPr>
          <w:p>
            <w:pPr>
              <w:widowControl/>
              <w:spacing w:line="276" w:lineRule="auto"/>
              <w:jc w:val="center"/>
              <w:rPr>
                <w:rFonts w:ascii="仿宋" w:hAnsi="仿宋" w:eastAsia="仿宋" w:cs="宋体"/>
                <w:b/>
                <w:bCs/>
                <w:kern w:val="0"/>
                <w:sz w:val="24"/>
              </w:rPr>
            </w:pPr>
            <w:r>
              <w:rPr>
                <w:rFonts w:hint="eastAsia" w:ascii="仿宋" w:hAnsi="仿宋" w:eastAsia="仿宋" w:cs="宋体"/>
                <w:b/>
                <w:bCs/>
                <w:kern w:val="0"/>
                <w:sz w:val="24"/>
              </w:rPr>
              <w:t>院校名称</w:t>
            </w:r>
          </w:p>
        </w:tc>
        <w:tc>
          <w:tcPr>
            <w:tcW w:w="4257" w:type="dxa"/>
            <w:gridSpan w:val="2"/>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kern w:val="0"/>
                <w:sz w:val="24"/>
              </w:rPr>
            </w:pPr>
            <w:r>
              <w:rPr>
                <w:rFonts w:hint="eastAsia" w:ascii="仿宋" w:hAnsi="仿宋" w:eastAsia="仿宋" w:cs="宋体"/>
                <w:b/>
                <w:bCs/>
                <w:kern w:val="0"/>
                <w:sz w:val="24"/>
              </w:rPr>
              <w:t>指标</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kern w:val="0"/>
                <w:sz w:val="24"/>
              </w:rPr>
            </w:pPr>
            <w:r>
              <w:rPr>
                <w:rFonts w:hint="eastAsia" w:ascii="仿宋" w:hAnsi="仿宋" w:eastAsia="仿宋" w:cs="宋体"/>
                <w:b/>
                <w:bCs/>
                <w:kern w:val="0"/>
                <w:sz w:val="24"/>
              </w:rPr>
              <w:t>单位</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6</w:t>
            </w:r>
            <w:r>
              <w:rPr>
                <w:rFonts w:hint="eastAsia" w:ascii="仿宋" w:hAnsi="仿宋" w:eastAsia="仿宋" w:cs="宋体"/>
                <w:b/>
                <w:bCs/>
                <w:kern w:val="0"/>
                <w:sz w:val="24"/>
              </w:rPr>
              <w:t>年</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7</w:t>
            </w:r>
            <w:r>
              <w:rPr>
                <w:rFonts w:hint="eastAsia" w:ascii="仿宋" w:hAnsi="仿宋" w:eastAsia="仿宋" w:cs="宋体"/>
                <w:b/>
                <w:bCs/>
                <w:kern w:val="0"/>
                <w:sz w:val="24"/>
              </w:rPr>
              <w:t>年</w:t>
            </w:r>
          </w:p>
        </w:tc>
      </w:tr>
      <w:tr>
        <w:tblPrEx>
          <w:tblLayout w:type="fixed"/>
          <w:tblCellMar>
            <w:top w:w="0" w:type="dxa"/>
            <w:left w:w="108" w:type="dxa"/>
            <w:bottom w:w="0" w:type="dxa"/>
            <w:right w:w="108" w:type="dxa"/>
          </w:tblCellMar>
        </w:tblPrEx>
        <w:trPr>
          <w:trHeight w:val="390" w:hRule="atLeast"/>
          <w:jc w:val="center"/>
        </w:trPr>
        <w:tc>
          <w:tcPr>
            <w:tcW w:w="851" w:type="dxa"/>
            <w:vMerge w:val="restart"/>
            <w:tcBorders>
              <w:top w:val="single" w:color="auto" w:sz="4" w:space="0"/>
              <w:left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13043</w:t>
            </w:r>
          </w:p>
        </w:tc>
        <w:tc>
          <w:tcPr>
            <w:tcW w:w="852" w:type="dxa"/>
            <w:vMerge w:val="restart"/>
            <w:tcBorders>
              <w:top w:val="single" w:color="auto" w:sz="4" w:space="0"/>
              <w:left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湖南化工职业技术学院</w:t>
            </w:r>
          </w:p>
        </w:tc>
        <w:tc>
          <w:tcPr>
            <w:tcW w:w="425" w:type="dxa"/>
            <w:vMerge w:val="restart"/>
            <w:tcBorders>
              <w:top w:val="nil"/>
              <w:left w:val="nil"/>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1</w:t>
            </w:r>
          </w:p>
        </w:tc>
        <w:tc>
          <w:tcPr>
            <w:tcW w:w="3832"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年生均财政拨款水平</w:t>
            </w:r>
          </w:p>
        </w:tc>
        <w:tc>
          <w:tcPr>
            <w:tcW w:w="99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9173</w:t>
            </w:r>
          </w:p>
        </w:tc>
        <w:tc>
          <w:tcPr>
            <w:tcW w:w="121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12262</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p>
        </w:tc>
        <w:tc>
          <w:tcPr>
            <w:tcW w:w="3832" w:type="dxa"/>
            <w:tcBorders>
              <w:top w:val="nil"/>
              <w:left w:val="nil"/>
              <w:bottom w:val="single" w:color="auto" w:sz="4" w:space="0"/>
              <w:right w:val="single" w:color="auto" w:sz="4" w:space="0"/>
            </w:tcBorders>
            <w:shd w:val="clear" w:color="auto" w:fill="auto"/>
            <w:vAlign w:val="center"/>
          </w:tcPr>
          <w:p>
            <w:pPr>
              <w:widowControl/>
              <w:spacing w:line="360" w:lineRule="auto"/>
              <w:ind w:firstLine="240" w:firstLineChars="100"/>
              <w:jc w:val="left"/>
              <w:rPr>
                <w:rFonts w:ascii="仿宋" w:hAnsi="仿宋" w:eastAsia="仿宋" w:cs="宋体"/>
                <w:kern w:val="0"/>
                <w:sz w:val="24"/>
              </w:rPr>
            </w:pPr>
            <w:r>
              <w:rPr>
                <w:rFonts w:hint="eastAsia" w:ascii="仿宋" w:hAnsi="仿宋" w:eastAsia="仿宋" w:cs="宋体"/>
                <w:kern w:val="0"/>
                <w:sz w:val="24"/>
              </w:rPr>
              <w:t>其中：年生均财政专项经费</w:t>
            </w:r>
          </w:p>
        </w:tc>
        <w:tc>
          <w:tcPr>
            <w:tcW w:w="99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1068</w:t>
            </w:r>
          </w:p>
        </w:tc>
        <w:tc>
          <w:tcPr>
            <w:tcW w:w="121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2084</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restart"/>
            <w:tcBorders>
              <w:top w:val="nil"/>
              <w:left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ascii="仿宋" w:hAnsi="仿宋" w:eastAsia="仿宋" w:cs="宋体"/>
                <w:kern w:val="0"/>
                <w:sz w:val="24"/>
              </w:rPr>
              <w:t>2</w:t>
            </w:r>
          </w:p>
        </w:tc>
        <w:tc>
          <w:tcPr>
            <w:tcW w:w="3832" w:type="dxa"/>
            <w:tcBorders>
              <w:top w:val="nil"/>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教职员工额定编制数</w:t>
            </w:r>
          </w:p>
        </w:tc>
        <w:tc>
          <w:tcPr>
            <w:tcW w:w="99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人</w:t>
            </w:r>
          </w:p>
        </w:tc>
        <w:tc>
          <w:tcPr>
            <w:tcW w:w="114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870</w:t>
            </w:r>
          </w:p>
        </w:tc>
        <w:tc>
          <w:tcPr>
            <w:tcW w:w="121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870</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3832" w:type="dxa"/>
            <w:tcBorders>
              <w:top w:val="nil"/>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在岗教职员工总数</w:t>
            </w:r>
          </w:p>
        </w:tc>
        <w:tc>
          <w:tcPr>
            <w:tcW w:w="99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人</w:t>
            </w:r>
          </w:p>
        </w:tc>
        <w:tc>
          <w:tcPr>
            <w:tcW w:w="114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567</w:t>
            </w:r>
          </w:p>
        </w:tc>
        <w:tc>
          <w:tcPr>
            <w:tcW w:w="121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573</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3832" w:type="dxa"/>
            <w:tcBorders>
              <w:top w:val="nil"/>
              <w:left w:val="nil"/>
              <w:bottom w:val="single" w:color="auto" w:sz="4" w:space="0"/>
              <w:right w:val="single" w:color="auto" w:sz="4" w:space="0"/>
            </w:tcBorders>
            <w:shd w:val="clear" w:color="000000" w:fill="FFFFFF"/>
            <w:vAlign w:val="center"/>
          </w:tcPr>
          <w:p>
            <w:pPr>
              <w:widowControl/>
              <w:spacing w:line="360" w:lineRule="auto"/>
              <w:ind w:firstLine="240" w:firstLineChars="100"/>
              <w:jc w:val="left"/>
              <w:rPr>
                <w:rFonts w:ascii="仿宋" w:hAnsi="仿宋" w:eastAsia="仿宋" w:cs="宋体"/>
                <w:kern w:val="0"/>
                <w:sz w:val="24"/>
              </w:rPr>
            </w:pPr>
            <w:r>
              <w:rPr>
                <w:rFonts w:hint="eastAsia" w:ascii="仿宋" w:hAnsi="仿宋" w:eastAsia="仿宋" w:cs="宋体"/>
                <w:kern w:val="0"/>
                <w:sz w:val="24"/>
              </w:rPr>
              <w:t>其中：专任教师总数</w:t>
            </w:r>
          </w:p>
        </w:tc>
        <w:tc>
          <w:tcPr>
            <w:tcW w:w="99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人</w:t>
            </w:r>
          </w:p>
        </w:tc>
        <w:tc>
          <w:tcPr>
            <w:tcW w:w="114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370</w:t>
            </w:r>
          </w:p>
        </w:tc>
        <w:tc>
          <w:tcPr>
            <w:tcW w:w="121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382</w:t>
            </w:r>
          </w:p>
        </w:tc>
      </w:tr>
      <w:tr>
        <w:tblPrEx>
          <w:tblLayout w:type="fixed"/>
          <w:tblCellMar>
            <w:top w:w="0" w:type="dxa"/>
            <w:left w:w="108" w:type="dxa"/>
            <w:bottom w:w="0" w:type="dxa"/>
            <w:right w:w="108" w:type="dxa"/>
          </w:tblCellMar>
        </w:tblPrEx>
        <w:trPr>
          <w:trHeight w:val="465"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3</w:t>
            </w: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企业提供的校内实践教学设备值</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万元</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277.5</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734</w:t>
            </w:r>
          </w:p>
        </w:tc>
      </w:tr>
      <w:tr>
        <w:tblPrEx>
          <w:tblLayout w:type="fixed"/>
          <w:tblCellMar>
            <w:top w:w="0" w:type="dxa"/>
            <w:left w:w="108" w:type="dxa"/>
            <w:bottom w:w="0" w:type="dxa"/>
            <w:right w:w="108" w:type="dxa"/>
          </w:tblCellMar>
        </w:tblPrEx>
        <w:trPr>
          <w:trHeight w:val="465"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restart"/>
            <w:tcBorders>
              <w:top w:val="single" w:color="auto" w:sz="4" w:space="0"/>
              <w:left w:val="nil"/>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ascii="仿宋" w:hAnsi="仿宋" w:eastAsia="仿宋" w:cs="宋体"/>
                <w:kern w:val="0"/>
                <w:sz w:val="24"/>
              </w:rPr>
              <w:t>4</w:t>
            </w: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生均企业实习经费补贴</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40</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40</w:t>
            </w:r>
          </w:p>
        </w:tc>
      </w:tr>
      <w:tr>
        <w:tblPrEx>
          <w:tblLayout w:type="fixed"/>
          <w:tblCellMar>
            <w:top w:w="0" w:type="dxa"/>
            <w:left w:w="108" w:type="dxa"/>
            <w:bottom w:w="0" w:type="dxa"/>
            <w:right w:w="108" w:type="dxa"/>
          </w:tblCellMar>
        </w:tblPrEx>
        <w:trPr>
          <w:trHeight w:val="465"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ind w:firstLine="240" w:firstLineChars="100"/>
              <w:jc w:val="left"/>
              <w:rPr>
                <w:rFonts w:ascii="仿宋" w:hAnsi="仿宋" w:eastAsia="仿宋" w:cs="宋体"/>
                <w:kern w:val="0"/>
                <w:sz w:val="24"/>
              </w:rPr>
            </w:pPr>
            <w:r>
              <w:rPr>
                <w:rFonts w:ascii="仿宋" w:hAnsi="仿宋" w:eastAsia="仿宋" w:cs="宋体"/>
                <w:kern w:val="0"/>
                <w:sz w:val="24"/>
              </w:rPr>
              <w:t>其中：</w:t>
            </w:r>
            <w:r>
              <w:rPr>
                <w:rFonts w:hint="eastAsia" w:ascii="仿宋" w:hAnsi="仿宋" w:eastAsia="仿宋" w:cs="宋体"/>
                <w:kern w:val="0"/>
                <w:sz w:val="24"/>
              </w:rPr>
              <w:t>生均</w:t>
            </w:r>
            <w:r>
              <w:rPr>
                <w:rFonts w:ascii="仿宋" w:hAnsi="仿宋" w:eastAsia="仿宋" w:cs="宋体"/>
                <w:kern w:val="0"/>
                <w:sz w:val="24"/>
              </w:rPr>
              <w:t>财政专项补贴</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0</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0</w:t>
            </w:r>
          </w:p>
        </w:tc>
      </w:tr>
      <w:tr>
        <w:tblPrEx>
          <w:tblLayout w:type="fixed"/>
          <w:tblCellMar>
            <w:top w:w="0" w:type="dxa"/>
            <w:left w:w="108" w:type="dxa"/>
            <w:bottom w:w="0" w:type="dxa"/>
            <w:right w:w="108" w:type="dxa"/>
          </w:tblCellMar>
        </w:tblPrEx>
        <w:trPr>
          <w:trHeight w:val="465"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restart"/>
            <w:tcBorders>
              <w:top w:val="nil"/>
              <w:left w:val="nil"/>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ascii="仿宋" w:hAnsi="仿宋" w:eastAsia="仿宋" w:cs="宋体"/>
                <w:kern w:val="0"/>
                <w:sz w:val="24"/>
              </w:rPr>
              <w:t>5</w:t>
            </w:r>
          </w:p>
        </w:tc>
        <w:tc>
          <w:tcPr>
            <w:tcW w:w="38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生均企业实习责任保险补贴</w:t>
            </w:r>
          </w:p>
        </w:tc>
        <w:tc>
          <w:tcPr>
            <w:tcW w:w="99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60</w:t>
            </w:r>
          </w:p>
        </w:tc>
        <w:tc>
          <w:tcPr>
            <w:tcW w:w="12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60</w:t>
            </w:r>
          </w:p>
        </w:tc>
      </w:tr>
      <w:tr>
        <w:tblPrEx>
          <w:tblLayout w:type="fixed"/>
          <w:tblCellMar>
            <w:top w:w="0" w:type="dxa"/>
            <w:left w:w="108" w:type="dxa"/>
            <w:bottom w:w="0" w:type="dxa"/>
            <w:right w:w="108" w:type="dxa"/>
          </w:tblCellMar>
        </w:tblPrEx>
        <w:trPr>
          <w:trHeight w:val="465"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p>
        </w:tc>
        <w:tc>
          <w:tcPr>
            <w:tcW w:w="38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ind w:firstLine="240" w:firstLineChars="100"/>
              <w:jc w:val="left"/>
              <w:rPr>
                <w:rFonts w:ascii="仿宋" w:hAnsi="仿宋" w:eastAsia="仿宋" w:cs="宋体"/>
                <w:kern w:val="0"/>
                <w:sz w:val="24"/>
              </w:rPr>
            </w:pPr>
            <w:r>
              <w:rPr>
                <w:rFonts w:ascii="仿宋" w:hAnsi="仿宋" w:eastAsia="仿宋" w:cs="宋体"/>
                <w:kern w:val="0"/>
                <w:sz w:val="24"/>
              </w:rPr>
              <w:t>其中：</w:t>
            </w:r>
            <w:r>
              <w:rPr>
                <w:rFonts w:hint="eastAsia" w:ascii="仿宋" w:hAnsi="仿宋" w:eastAsia="仿宋" w:cs="宋体"/>
                <w:kern w:val="0"/>
                <w:sz w:val="24"/>
              </w:rPr>
              <w:t>生均</w:t>
            </w:r>
            <w:r>
              <w:rPr>
                <w:rFonts w:ascii="仿宋" w:hAnsi="仿宋" w:eastAsia="仿宋" w:cs="宋体"/>
                <w:kern w:val="0"/>
                <w:sz w:val="24"/>
              </w:rPr>
              <w:t>财政专项补贴</w:t>
            </w:r>
          </w:p>
        </w:tc>
        <w:tc>
          <w:tcPr>
            <w:tcW w:w="99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ascii="仿宋" w:hAnsi="仿宋" w:eastAsia="仿宋" w:cs="宋体"/>
                <w:kern w:val="0"/>
                <w:sz w:val="24"/>
              </w:rPr>
              <w:t>元</w:t>
            </w:r>
          </w:p>
        </w:tc>
        <w:tc>
          <w:tcPr>
            <w:tcW w:w="114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0</w:t>
            </w:r>
          </w:p>
        </w:tc>
        <w:tc>
          <w:tcPr>
            <w:tcW w:w="12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0</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restart"/>
            <w:tcBorders>
              <w:top w:val="nil"/>
              <w:left w:val="nil"/>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ascii="仿宋" w:hAnsi="仿宋" w:eastAsia="仿宋" w:cs="宋体"/>
                <w:kern w:val="0"/>
                <w:sz w:val="24"/>
              </w:rPr>
              <w:t>6</w:t>
            </w: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企业兼职教师年课时总量</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课时</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17672</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20178</w:t>
            </w:r>
          </w:p>
        </w:tc>
      </w:tr>
      <w:tr>
        <w:tblPrEx>
          <w:tblLayout w:type="fixed"/>
          <w:tblCellMar>
            <w:top w:w="0" w:type="dxa"/>
            <w:left w:w="108" w:type="dxa"/>
            <w:bottom w:w="0" w:type="dxa"/>
            <w:right w:w="108" w:type="dxa"/>
          </w:tblCellMar>
        </w:tblPrEx>
        <w:trPr>
          <w:trHeight w:val="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nil"/>
              <w:right w:val="single" w:color="auto" w:sz="4" w:space="0"/>
            </w:tcBorders>
            <w:shd w:val="clear" w:color="000000" w:fill="FFFFFF"/>
            <w:vAlign w:val="center"/>
          </w:tcPr>
          <w:p>
            <w:pPr>
              <w:widowControl/>
              <w:spacing w:line="360" w:lineRule="auto"/>
              <w:rPr>
                <w:rFonts w:ascii="仿宋" w:hAnsi="仿宋" w:eastAsia="仿宋" w:cs="宋体"/>
                <w:kern w:val="0"/>
                <w:sz w:val="24"/>
              </w:rPr>
            </w:pP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年支付企业兼职教师课酬</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2385700</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2734000</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ind w:firstLine="240" w:firstLineChars="100"/>
              <w:jc w:val="left"/>
              <w:rPr>
                <w:rFonts w:ascii="仿宋" w:hAnsi="仿宋" w:eastAsia="仿宋" w:cs="宋体"/>
                <w:kern w:val="0"/>
                <w:sz w:val="24"/>
              </w:rPr>
            </w:pPr>
            <w:r>
              <w:rPr>
                <w:rFonts w:hint="eastAsia" w:ascii="仿宋" w:hAnsi="仿宋" w:eastAsia="仿宋" w:cs="宋体"/>
                <w:kern w:val="0"/>
                <w:sz w:val="24"/>
              </w:rPr>
              <w:t>其中：财政专项补贴</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0</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0</w:t>
            </w:r>
          </w:p>
        </w:tc>
      </w:tr>
    </w:tbl>
    <w:p>
      <w:pPr>
        <w:pStyle w:val="3"/>
      </w:pPr>
      <w:bookmarkStart w:id="164" w:name="_Toc31601"/>
      <w:bookmarkStart w:id="165" w:name="_Toc20587"/>
      <w:r>
        <w:rPr>
          <w:rFonts w:hint="eastAsia"/>
        </w:rPr>
        <w:t>4.2 创新发展行动计划引领学院内涵发展</w:t>
      </w:r>
      <w:bookmarkEnd w:id="164"/>
      <w:bookmarkEnd w:id="165"/>
    </w:p>
    <w:p>
      <w:pPr>
        <w:spacing w:line="360" w:lineRule="auto"/>
        <w:ind w:firstLine="480" w:firstLineChars="200"/>
        <w:rPr>
          <w:rFonts w:ascii="宋体" w:hAnsi="宋体" w:cs="宋体"/>
          <w:color w:val="000000"/>
          <w:kern w:val="0"/>
          <w:sz w:val="24"/>
          <w:lang w:val="zh-CN"/>
        </w:rPr>
      </w:pPr>
      <w:r>
        <w:rPr>
          <w:rFonts w:hint="eastAsia" w:ascii="宋体" w:hAnsi="宋体" w:cs="宋体"/>
          <w:color w:val="000000"/>
          <w:kern w:val="0"/>
          <w:sz w:val="24"/>
          <w:lang w:val="zh-CN"/>
        </w:rPr>
        <w:t>为贯彻落实教育部《高等职业教育创新发展行动计划（2015－2018年）》（教职成[2015]9号）和湖南省教育厅《湖南高等职业教育创新发展行动计划（2016-2018年）》（湘教发[2016]7号），学院制定了《湖南化工职业技术学院创新发展行动计划实施方案（2016-2018年）》。同时承担了省级教育行政部门创新行动计划建设任务43项、项目1</w:t>
      </w:r>
      <w:r>
        <w:rPr>
          <w:rFonts w:hint="eastAsia" w:ascii="宋体" w:hAnsi="宋体" w:cs="宋体"/>
          <w:color w:val="000000"/>
          <w:kern w:val="0"/>
          <w:sz w:val="24"/>
        </w:rPr>
        <w:t>5</w:t>
      </w:r>
      <w:r>
        <w:rPr>
          <w:rFonts w:hint="eastAsia" w:ascii="宋体" w:hAnsi="宋体" w:cs="宋体"/>
          <w:color w:val="000000"/>
          <w:kern w:val="0"/>
          <w:sz w:val="24"/>
          <w:lang w:val="zh-CN"/>
        </w:rPr>
        <w:t>项，承担了化工行指委创新行动计划建设项目</w:t>
      </w:r>
      <w:r>
        <w:rPr>
          <w:rFonts w:hint="eastAsia" w:ascii="宋体" w:hAnsi="宋体" w:cs="宋体"/>
          <w:color w:val="000000"/>
          <w:kern w:val="0"/>
          <w:sz w:val="24"/>
        </w:rPr>
        <w:t>11项，经过全年扎实推进，</w:t>
      </w:r>
      <w:r>
        <w:rPr>
          <w:rFonts w:hint="eastAsia" w:ascii="宋体" w:hAnsi="宋体" w:cs="宋体"/>
          <w:color w:val="000000"/>
          <w:kern w:val="0"/>
          <w:sz w:val="24"/>
          <w:lang w:val="zh-CN"/>
        </w:rPr>
        <w:t>所有任务年度绩效指标均全部完成。</w:t>
      </w:r>
    </w:p>
    <w:p>
      <w:pPr>
        <w:pStyle w:val="3"/>
      </w:pPr>
      <w:bookmarkStart w:id="166" w:name="_Toc9839"/>
      <w:bookmarkStart w:id="167" w:name="_Toc19633"/>
      <w:r>
        <w:rPr>
          <w:rFonts w:hint="eastAsia"/>
        </w:rPr>
        <w:t>4.3 湖南省卓越计划助力学院</w:t>
      </w:r>
      <w:r>
        <w:rPr>
          <w:rFonts w:hint="eastAsia"/>
          <w:lang w:val="zh-CN"/>
        </w:rPr>
        <w:t>冲优质、争一流</w:t>
      </w:r>
      <w:bookmarkEnd w:id="166"/>
      <w:bookmarkEnd w:id="167"/>
    </w:p>
    <w:p>
      <w:pPr>
        <w:spacing w:line="360" w:lineRule="auto"/>
        <w:ind w:firstLine="480" w:firstLineChars="200"/>
        <w:rPr>
          <w:rFonts w:ascii="宋体" w:hAnsi="宋体" w:cs="宋体"/>
          <w:color w:val="000000"/>
          <w:kern w:val="0"/>
          <w:sz w:val="24"/>
          <w:lang w:val="zh-CN"/>
        </w:rPr>
      </w:pPr>
      <w:r>
        <w:rPr>
          <w:rFonts w:hint="eastAsia" w:ascii="宋体" w:hAnsi="宋体" w:cs="宋体"/>
          <w:color w:val="000000"/>
          <w:kern w:val="0"/>
          <w:sz w:val="24"/>
        </w:rPr>
        <w:t>2017年是学院省级卓越高职院校项目建设开局年，也是项目建设的丰收年。按照学院党委要求：要</w:t>
      </w:r>
      <w:r>
        <w:rPr>
          <w:rFonts w:hint="eastAsia" w:ascii="宋体" w:hAnsi="宋体" w:cs="宋体"/>
          <w:color w:val="000000"/>
          <w:kern w:val="0"/>
          <w:sz w:val="24"/>
          <w:lang w:val="zh-CN"/>
        </w:rPr>
        <w:t>充分认识</w:t>
      </w:r>
      <w:r>
        <w:rPr>
          <w:rFonts w:hint="eastAsia" w:ascii="宋体" w:hAnsi="宋体" w:cs="宋体"/>
          <w:color w:val="000000"/>
          <w:kern w:val="0"/>
          <w:sz w:val="24"/>
        </w:rPr>
        <w:t>省级卓越高职院校项目建设</w:t>
      </w:r>
      <w:r>
        <w:rPr>
          <w:rFonts w:hint="eastAsia" w:ascii="宋体" w:hAnsi="宋体" w:cs="宋体"/>
          <w:color w:val="000000"/>
          <w:kern w:val="0"/>
          <w:sz w:val="24"/>
          <w:lang w:val="zh-CN"/>
        </w:rPr>
        <w:t>在学院“冲优质、争一流”中基础性作用和学院“十三五”建设中的重要性，将</w:t>
      </w:r>
      <w:r>
        <w:rPr>
          <w:rFonts w:hint="eastAsia" w:ascii="宋体" w:hAnsi="宋体" w:cs="宋体"/>
          <w:color w:val="000000"/>
          <w:kern w:val="0"/>
          <w:sz w:val="24"/>
        </w:rPr>
        <w:t>省级卓越高职院校项目建设常规性工作要整体前移，争取标志性成果完成率要过半。学院</w:t>
      </w:r>
      <w:r>
        <w:rPr>
          <w:rFonts w:hint="eastAsia" w:ascii="宋体" w:hAnsi="宋体" w:cs="宋体"/>
          <w:color w:val="000000"/>
          <w:kern w:val="0"/>
          <w:sz w:val="24"/>
          <w:lang w:val="zh-CN"/>
        </w:rPr>
        <w:t>按照《湖南化工职业技术学院省级卓越高职院校项目建设实施方案》所确定的建设思路、总体建设目标，严格执行党委决定，进一步明确和细化特色专业群、师资队伍、治理能力、智慧校园、创新创业教育体系七个子项目的各项目标任务；建立健全项目推进、监控、奖惩办法；实行项目负责制，实施任务分解，确保责任落实到项目组、落实到部门（学院）、落实到人头，加强项目管理机构职能，有效统筹协调各二级学院开展专业群建设。截止目前，各子项目常规性工作已完成近三分之二，取得省级标志性成果</w:t>
      </w:r>
      <w:r>
        <w:rPr>
          <w:rFonts w:hint="eastAsia" w:ascii="宋体" w:hAnsi="宋体" w:cs="宋体"/>
          <w:color w:val="000000"/>
          <w:kern w:val="0"/>
          <w:sz w:val="24"/>
        </w:rPr>
        <w:t>87项，国家级标志性成果13项，出色完成了党委制定的项目建设年度目标。为学院</w:t>
      </w:r>
      <w:r>
        <w:rPr>
          <w:rFonts w:hint="eastAsia" w:ascii="宋体" w:hAnsi="宋体" w:cs="宋体"/>
          <w:color w:val="000000"/>
          <w:kern w:val="0"/>
          <w:sz w:val="24"/>
          <w:lang w:val="zh-CN"/>
        </w:rPr>
        <w:t>“冲优质、争一流”奠定了良好基础。</w:t>
      </w:r>
    </w:p>
    <w:p>
      <w:pPr>
        <w:spacing w:line="360" w:lineRule="auto"/>
        <w:rPr>
          <w:rFonts w:ascii="宋体" w:hAnsi="宋体" w:cs="宋体"/>
          <w:color w:val="000000"/>
          <w:kern w:val="0"/>
          <w:sz w:val="24"/>
          <w:lang w:val="zh-CN"/>
        </w:rPr>
      </w:pPr>
      <w:r>
        <w:drawing>
          <wp:inline distT="0" distB="0" distL="114300" distR="114300">
            <wp:extent cx="5111115" cy="2743200"/>
            <wp:effectExtent l="4445" t="4445" r="8890" b="14605"/>
            <wp:docPr id="5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jc w:val="center"/>
        <w:rPr>
          <w:rFonts w:ascii="宋体" w:hAnsi="宋体"/>
          <w:b/>
          <w:szCs w:val="21"/>
        </w:rPr>
      </w:pPr>
      <w:r>
        <w:rPr>
          <w:rFonts w:hint="eastAsia" w:ascii="宋体" w:hAnsi="宋体"/>
          <w:b/>
          <w:szCs w:val="21"/>
        </w:rPr>
        <w:t>图4-1 学院省级卓越校建设标志性成果完成情况</w:t>
      </w:r>
    </w:p>
    <w:p>
      <w:pPr>
        <w:jc w:val="right"/>
        <w:rPr>
          <w:rFonts w:ascii="宋体" w:hAnsi="宋体"/>
          <w:b/>
          <w:szCs w:val="21"/>
        </w:rPr>
      </w:pPr>
      <w:r>
        <w:rPr>
          <w:rFonts w:hint="eastAsia" w:ascii="宋体" w:hAnsi="宋体" w:eastAsia="宋体" w:cs="Times New Roman"/>
          <w:b/>
        </w:rPr>
        <w:t>数据来源：湖南化工职业技术学院省级卓越高职院校项目实施方案</w:t>
      </w:r>
    </w:p>
    <w:p>
      <w:pPr>
        <w:pStyle w:val="3"/>
      </w:pPr>
      <w:bookmarkStart w:id="168" w:name="_Toc3478"/>
      <w:bookmarkStart w:id="169" w:name="_Toc48"/>
      <w:r>
        <w:rPr>
          <w:rFonts w:hint="eastAsia"/>
        </w:rPr>
        <w:t>4.4 经费保障</w:t>
      </w:r>
      <w:bookmarkEnd w:id="168"/>
      <w:bookmarkEnd w:id="169"/>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2017年，学院生均经常性财政拨款为12262元，比上年提高了33.67%（见图4-2），生均经常性财政拨款水平增长明显。财政性教育经费所占比例不断提升，已超过学院办学经费的半数，达到58.5%（见图4-3），</w:t>
      </w:r>
    </w:p>
    <w:p>
      <w:pPr>
        <w:adjustRightInd w:val="0"/>
        <w:snapToGrid w:val="0"/>
        <w:spacing w:line="360" w:lineRule="auto"/>
        <w:ind w:firstLine="562"/>
      </w:pPr>
      <w:r>
        <w:drawing>
          <wp:inline distT="0" distB="0" distL="114300" distR="114300">
            <wp:extent cx="4572000" cy="2743200"/>
            <wp:effectExtent l="4445" t="4445" r="14605" b="14605"/>
            <wp:docPr id="55"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jc w:val="center"/>
        <w:rPr>
          <w:rFonts w:ascii="宋体" w:hAnsi="宋体"/>
          <w:b/>
          <w:szCs w:val="21"/>
        </w:rPr>
      </w:pPr>
      <w:r>
        <w:rPr>
          <w:rFonts w:hint="eastAsia" w:ascii="宋体" w:hAnsi="宋体"/>
          <w:b/>
          <w:szCs w:val="21"/>
        </w:rPr>
        <w:t>图4-2 学院生均经常性财政拨款情况</w:t>
      </w:r>
    </w:p>
    <w:p>
      <w:pPr>
        <w:spacing w:line="360" w:lineRule="auto"/>
        <w:jc w:val="right"/>
        <w:rPr>
          <w:rFonts w:ascii="宋体" w:hAnsi="宋体" w:eastAsia="宋体" w:cs="宋体"/>
          <w:b/>
        </w:rPr>
      </w:pPr>
      <w:r>
        <w:rPr>
          <w:rFonts w:hint="eastAsia" w:ascii="宋体" w:hAnsi="宋体" w:eastAsia="宋体" w:cs="宋体"/>
          <w:b/>
        </w:rPr>
        <w:t>数据来源：全国高职院校状态数据采集与管理系统</w:t>
      </w:r>
    </w:p>
    <w:p>
      <w:pPr>
        <w:jc w:val="center"/>
        <w:rPr>
          <w:rFonts w:ascii="宋体" w:hAnsi="宋体"/>
          <w:b/>
          <w:szCs w:val="21"/>
        </w:rPr>
      </w:pPr>
      <w:r>
        <w:rPr>
          <w:rFonts w:hint="eastAsia" w:ascii="宋体" w:hAnsi="宋体"/>
          <w:b/>
          <w:sz w:val="24"/>
        </w:rPr>
        <w:drawing>
          <wp:inline distT="0" distB="0" distL="114300" distR="114300">
            <wp:extent cx="4766310" cy="3177540"/>
            <wp:effectExtent l="0" t="0" r="15240" b="3810"/>
            <wp:docPr id="56" name="图片 56"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hart"/>
                    <pic:cNvPicPr>
                      <a:picLocks noChangeAspect="1"/>
                    </pic:cNvPicPr>
                  </pic:nvPicPr>
                  <pic:blipFill>
                    <a:blip r:embed="rId70"/>
                    <a:stretch>
                      <a:fillRect/>
                    </a:stretch>
                  </pic:blipFill>
                  <pic:spPr>
                    <a:xfrm>
                      <a:off x="0" y="0"/>
                      <a:ext cx="4766310" cy="3177540"/>
                    </a:xfrm>
                    <a:prstGeom prst="rect">
                      <a:avLst/>
                    </a:prstGeom>
                  </pic:spPr>
                </pic:pic>
              </a:graphicData>
            </a:graphic>
          </wp:inline>
        </w:drawing>
      </w:r>
    </w:p>
    <w:p>
      <w:pPr>
        <w:jc w:val="center"/>
        <w:rPr>
          <w:rFonts w:ascii="宋体" w:hAnsi="宋体"/>
          <w:b/>
          <w:szCs w:val="21"/>
        </w:rPr>
      </w:pPr>
      <w:r>
        <w:rPr>
          <w:rFonts w:hint="eastAsia" w:ascii="宋体" w:hAnsi="宋体"/>
          <w:b/>
          <w:szCs w:val="21"/>
        </w:rPr>
        <w:t>图4-3 学院经费收入情况示意图</w:t>
      </w:r>
    </w:p>
    <w:p>
      <w:pPr>
        <w:spacing w:line="360" w:lineRule="auto"/>
        <w:jc w:val="right"/>
        <w:rPr>
          <w:rFonts w:ascii="宋体" w:hAnsi="宋体" w:eastAsia="宋体" w:cs="宋体"/>
          <w:b/>
        </w:rPr>
      </w:pPr>
      <w:r>
        <w:rPr>
          <w:rFonts w:hint="eastAsia" w:ascii="宋体" w:hAnsi="宋体" w:eastAsia="宋体" w:cs="宋体"/>
          <w:b/>
        </w:rPr>
        <w:t>数据来源：全国高职院校状态数据采集与管理系统</w:t>
      </w:r>
    </w:p>
    <w:p>
      <w:pPr>
        <w:jc w:val="center"/>
        <w:rPr>
          <w:rFonts w:ascii="宋体" w:hAnsi="宋体"/>
          <w:b/>
          <w:szCs w:val="21"/>
        </w:rPr>
      </w:pPr>
    </w:p>
    <w:p>
      <w:pPr>
        <w:adjustRightInd w:val="0"/>
        <w:snapToGrid w:val="0"/>
        <w:spacing w:line="360" w:lineRule="auto"/>
        <w:rPr>
          <w:rFonts w:asciiTheme="minorEastAsia" w:hAnsiTheme="minorEastAsia" w:cstheme="minorEastAsia"/>
          <w:b/>
          <w:bCs/>
          <w:sz w:val="28"/>
          <w:szCs w:val="28"/>
        </w:rPr>
      </w:pPr>
      <w:r>
        <w:rPr>
          <w:rFonts w:hint="eastAsia" w:asciiTheme="minorEastAsia" w:hAnsiTheme="minorEastAsia" w:cstheme="minorEastAsia"/>
          <w:b/>
          <w:bCs/>
          <w:sz w:val="28"/>
          <w:szCs w:val="28"/>
        </w:rPr>
        <w:br w:type="page"/>
      </w:r>
    </w:p>
    <w:p>
      <w:pPr>
        <w:pStyle w:val="2"/>
        <w:rPr>
          <w:rFonts w:hint="default"/>
        </w:rPr>
      </w:pPr>
      <w:bookmarkStart w:id="170" w:name="_Toc4785"/>
      <w:r>
        <w:t>5 国际合作</w:t>
      </w:r>
      <w:bookmarkEnd w:id="170"/>
    </w:p>
    <w:p>
      <w:pPr>
        <w:pStyle w:val="3"/>
      </w:pPr>
      <w:bookmarkStart w:id="171" w:name="_Toc22888"/>
      <w:bookmarkStart w:id="172" w:name="_Toc8803"/>
      <w:r>
        <w:rPr>
          <w:rFonts w:hint="eastAsia"/>
        </w:rPr>
        <w:t>5.1 国际影响表</w:t>
      </w:r>
      <w:bookmarkEnd w:id="171"/>
      <w:bookmarkEnd w:id="172"/>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2017年，学院</w:t>
      </w:r>
      <w:r>
        <w:rPr>
          <w:rFonts w:hint="eastAsia" w:ascii="宋体" w:hAnsi="宋体"/>
          <w:sz w:val="24"/>
        </w:rPr>
        <w:t>广泛开展与国际知名院校和职业教育发达国家院校的校际交流与合作。</w:t>
      </w:r>
      <w:r>
        <w:rPr>
          <w:rFonts w:hint="eastAsia" w:ascii="宋体" w:hAnsi="宋体" w:cs="宋体"/>
          <w:color w:val="000000"/>
          <w:kern w:val="0"/>
          <w:sz w:val="24"/>
        </w:rPr>
        <w:t>努力服务“一带一路”战略中国化工企业走出去，不断拓展、深化国际交流与合作项目，取得了较好的成绩。</w:t>
      </w:r>
    </w:p>
    <w:p>
      <w:pPr>
        <w:jc w:val="center"/>
        <w:rPr>
          <w:rFonts w:ascii="宋体" w:hAnsi="宋体"/>
          <w:b/>
          <w:szCs w:val="21"/>
        </w:rPr>
      </w:pPr>
      <w:r>
        <w:rPr>
          <w:rFonts w:hint="eastAsia" w:ascii="宋体" w:hAnsi="宋体"/>
          <w:b/>
          <w:szCs w:val="21"/>
        </w:rPr>
        <w:t>表5-1 国际影响表</w:t>
      </w:r>
    </w:p>
    <w:tbl>
      <w:tblPr>
        <w:tblStyle w:val="18"/>
        <w:tblW w:w="9447" w:type="dxa"/>
        <w:jc w:val="center"/>
        <w:tblInd w:w="-56" w:type="dxa"/>
        <w:tblLayout w:type="fixed"/>
        <w:tblCellMar>
          <w:top w:w="0" w:type="dxa"/>
          <w:left w:w="108" w:type="dxa"/>
          <w:bottom w:w="0" w:type="dxa"/>
          <w:right w:w="108" w:type="dxa"/>
        </w:tblCellMar>
      </w:tblPr>
      <w:tblGrid>
        <w:gridCol w:w="850"/>
        <w:gridCol w:w="794"/>
        <w:gridCol w:w="454"/>
        <w:gridCol w:w="2847"/>
        <w:gridCol w:w="745"/>
        <w:gridCol w:w="780"/>
        <w:gridCol w:w="709"/>
        <w:gridCol w:w="2268"/>
      </w:tblGrid>
      <w:tr>
        <w:tblPrEx>
          <w:tblLayout w:type="fixed"/>
          <w:tblCellMar>
            <w:top w:w="0" w:type="dxa"/>
            <w:left w:w="108" w:type="dxa"/>
            <w:bottom w:w="0" w:type="dxa"/>
            <w:right w:w="108" w:type="dxa"/>
          </w:tblCellMar>
        </w:tblPrEx>
        <w:trPr>
          <w:trHeight w:val="672"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院校代码</w:t>
            </w:r>
          </w:p>
        </w:tc>
        <w:tc>
          <w:tcPr>
            <w:tcW w:w="79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院校名称</w:t>
            </w:r>
          </w:p>
        </w:tc>
        <w:tc>
          <w:tcPr>
            <w:tcW w:w="3301" w:type="dxa"/>
            <w:gridSpan w:val="2"/>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指标</w:t>
            </w: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单位</w:t>
            </w:r>
          </w:p>
        </w:tc>
        <w:tc>
          <w:tcPr>
            <w:tcW w:w="78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6</w:t>
            </w:r>
            <w:r>
              <w:rPr>
                <w:rFonts w:hint="eastAsia" w:ascii="仿宋" w:hAnsi="仿宋" w:eastAsia="仿宋" w:cs="宋体"/>
                <w:b/>
                <w:bCs/>
                <w:kern w:val="0"/>
                <w:sz w:val="24"/>
              </w:rPr>
              <w:t>年</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7</w:t>
            </w:r>
            <w:r>
              <w:rPr>
                <w:rFonts w:hint="eastAsia" w:ascii="仿宋" w:hAnsi="仿宋" w:eastAsia="仿宋" w:cs="宋体"/>
                <w:b/>
                <w:bCs/>
                <w:kern w:val="0"/>
                <w:sz w:val="24"/>
              </w:rPr>
              <w:t>年</w:t>
            </w:r>
          </w:p>
        </w:tc>
        <w:tc>
          <w:tcPr>
            <w:tcW w:w="2268" w:type="dxa"/>
            <w:tcBorders>
              <w:top w:val="single" w:color="auto" w:sz="4" w:space="0"/>
              <w:left w:val="nil"/>
              <w:bottom w:val="single" w:color="auto" w:sz="4" w:space="0"/>
              <w:right w:val="single" w:color="auto" w:sz="4" w:space="0"/>
            </w:tcBorders>
          </w:tcPr>
          <w:p>
            <w:pPr>
              <w:widowControl/>
              <w:jc w:val="center"/>
              <w:rPr>
                <w:rFonts w:ascii="仿宋" w:hAnsi="仿宋" w:eastAsia="仿宋" w:cs="宋体"/>
                <w:b/>
                <w:bCs/>
                <w:kern w:val="0"/>
                <w:sz w:val="24"/>
              </w:rPr>
            </w:pPr>
            <w:r>
              <w:rPr>
                <w:rFonts w:hint="eastAsia" w:ascii="仿宋" w:hAnsi="仿宋" w:eastAsia="仿宋" w:cs="宋体"/>
                <w:b/>
                <w:bCs/>
                <w:kern w:val="0"/>
                <w:sz w:val="24"/>
              </w:rPr>
              <w:t>备注</w:t>
            </w:r>
          </w:p>
        </w:tc>
      </w:tr>
      <w:tr>
        <w:tblPrEx>
          <w:tblLayout w:type="fixed"/>
          <w:tblCellMar>
            <w:top w:w="0" w:type="dxa"/>
            <w:left w:w="108" w:type="dxa"/>
            <w:bottom w:w="0" w:type="dxa"/>
            <w:right w:w="108" w:type="dxa"/>
          </w:tblCellMar>
        </w:tblPrEx>
        <w:trPr>
          <w:trHeight w:val="456" w:hRule="atLeast"/>
          <w:jc w:val="center"/>
        </w:trPr>
        <w:tc>
          <w:tcPr>
            <w:tcW w:w="850"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13043</w:t>
            </w:r>
          </w:p>
        </w:tc>
        <w:tc>
          <w:tcPr>
            <w:tcW w:w="794"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湖南化工职业技术学院</w:t>
            </w: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全日制国（境）外留学生人数（一年以上）</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226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cs="宋体" w:asciiTheme="minorEastAsia" w:hAnsiTheme="minorEastAsia"/>
                <w:kern w:val="0"/>
                <w:sz w:val="24"/>
              </w:rPr>
              <w:t>——</w:t>
            </w: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非全日制国（境）外人员培训量</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人日</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226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cs="宋体" w:asciiTheme="minorEastAsia" w:hAnsiTheme="minorEastAsia"/>
                <w:kern w:val="0"/>
                <w:sz w:val="24"/>
              </w:rPr>
              <w:t>——</w:t>
            </w: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在校生服务“走出去”企业国（境）外实习时间</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人日</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405</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405</w:t>
            </w:r>
          </w:p>
        </w:tc>
        <w:tc>
          <w:tcPr>
            <w:tcW w:w="226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cs="宋体" w:asciiTheme="minorEastAsia" w:hAnsiTheme="minorEastAsia"/>
                <w:kern w:val="0"/>
                <w:sz w:val="24"/>
              </w:rPr>
              <w:t>——</w:t>
            </w: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专任教师赴国（境）外指导和开展培训时间</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人日</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360</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441</w:t>
            </w:r>
          </w:p>
        </w:tc>
        <w:tc>
          <w:tcPr>
            <w:tcW w:w="226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cs="宋体" w:asciiTheme="minorEastAsia" w:hAnsiTheme="minorEastAsia"/>
                <w:kern w:val="0"/>
                <w:sz w:val="24"/>
              </w:rPr>
              <w:t>——</w:t>
            </w: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5</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在国（境）外组织担任职务的专任教师人数</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2268" w:type="dxa"/>
            <w:tcBorders>
              <w:top w:val="nil"/>
              <w:left w:val="nil"/>
              <w:bottom w:val="single" w:color="auto" w:sz="4" w:space="0"/>
              <w:right w:val="single" w:color="auto" w:sz="4" w:space="0"/>
            </w:tcBorders>
          </w:tcPr>
          <w:p>
            <w:pPr>
              <w:widowControl/>
              <w:jc w:val="left"/>
              <w:rPr>
                <w:rFonts w:ascii="仿宋" w:hAnsi="仿宋" w:eastAsia="仿宋" w:cs="宋体"/>
                <w:kern w:val="0"/>
                <w:sz w:val="24"/>
              </w:rPr>
            </w:pP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6</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开发国（境）外认可的专业教学标准和课程标准数</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个</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w:t>
            </w:r>
          </w:p>
        </w:tc>
        <w:tc>
          <w:tcPr>
            <w:tcW w:w="2268" w:type="dxa"/>
            <w:tcBorders>
              <w:top w:val="nil"/>
              <w:left w:val="nil"/>
              <w:bottom w:val="single" w:color="auto" w:sz="4" w:space="0"/>
              <w:right w:val="single" w:color="auto" w:sz="4" w:space="0"/>
            </w:tcBorders>
          </w:tcPr>
          <w:p>
            <w:pPr>
              <w:widowControl/>
              <w:jc w:val="left"/>
              <w:rPr>
                <w:rFonts w:ascii="仿宋" w:hAnsi="仿宋" w:eastAsia="仿宋" w:cs="宋体"/>
                <w:kern w:val="0"/>
                <w:sz w:val="24"/>
              </w:rPr>
            </w:pPr>
            <w:r>
              <w:rPr>
                <w:rFonts w:hint="eastAsia" w:ascii="仿宋" w:hAnsi="仿宋" w:eastAsia="仿宋" w:cs="宋体"/>
                <w:kern w:val="0"/>
                <w:sz w:val="24"/>
              </w:rPr>
              <w:t>应用化工技术专业教学标准被埃塞俄比亚认可。</w:t>
            </w: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国（境）外技能大赛获奖数量</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项</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2268" w:type="dxa"/>
            <w:tcBorders>
              <w:top w:val="nil"/>
              <w:left w:val="nil"/>
              <w:bottom w:val="single" w:color="auto" w:sz="4" w:space="0"/>
              <w:right w:val="single" w:color="auto" w:sz="4" w:space="0"/>
            </w:tcBorders>
          </w:tcPr>
          <w:p>
            <w:pPr>
              <w:widowControl/>
              <w:jc w:val="left"/>
              <w:rPr>
                <w:rFonts w:ascii="仿宋" w:hAnsi="仿宋" w:eastAsia="仿宋" w:cs="宋体"/>
                <w:kern w:val="0"/>
                <w:sz w:val="24"/>
              </w:rPr>
            </w:pPr>
          </w:p>
        </w:tc>
      </w:tr>
    </w:tbl>
    <w:p>
      <w:pPr>
        <w:pStyle w:val="3"/>
      </w:pPr>
      <w:bookmarkStart w:id="173" w:name="_Toc29467"/>
      <w:bookmarkStart w:id="174" w:name="_Toc1291"/>
      <w:r>
        <w:rPr>
          <w:rFonts w:hint="eastAsia"/>
        </w:rPr>
        <w:t>5.2 合作培养</w:t>
      </w:r>
      <w:bookmarkEnd w:id="173"/>
      <w:bookmarkEnd w:id="174"/>
    </w:p>
    <w:p>
      <w:pPr>
        <w:spacing w:line="360" w:lineRule="auto"/>
        <w:ind w:firstLine="480" w:firstLineChars="200"/>
        <w:rPr>
          <w:rFonts w:ascii="宋体" w:hAnsi="宋体"/>
          <w:sz w:val="24"/>
        </w:rPr>
      </w:pPr>
      <w:r>
        <w:rPr>
          <w:rFonts w:hint="eastAsia" w:ascii="宋体" w:hAnsi="宋体"/>
          <w:sz w:val="24"/>
        </w:rPr>
        <w:t>基于学院近年来国家交流考察情况，2017年，学院与美国、加拿大、新西兰、马来西亚、泰国等国家多所高校签订合作培养协议，联合培养国际化人才。启动了美国日内瓦学院3+X专升本项目、加拿大哈利法克斯语言学院“免雅思、托福、中介”专升本转学分留学加拿大直通车项目、马来西亚英迪国际大学3+X专升本项目、泰国斯坦佛国际大学X+2+1本硕项目等海外学历提升项目。截至目前，已完成了与加拿大王子岛大学进行化工应用技术、计算机网络技术、市场营销、会计4个专业的学分互认工作，正在与英迪大学进行了计算机网络技术、软件技术等专业的学分互认工作。</w:t>
      </w:r>
    </w:p>
    <w:p>
      <w:pPr>
        <w:spacing w:line="360" w:lineRule="auto"/>
        <w:jc w:val="center"/>
        <w:rPr>
          <w:rFonts w:ascii="宋体" w:hAnsi="宋体" w:cs="宋体"/>
          <w:kern w:val="0"/>
          <w:szCs w:val="21"/>
        </w:rPr>
      </w:pPr>
      <w:r>
        <w:rPr>
          <w:rFonts w:ascii="宋体" w:hAnsi="宋体" w:cs="宋体"/>
          <w:kern w:val="0"/>
          <w:szCs w:val="21"/>
        </w:rPr>
        <w:drawing>
          <wp:inline distT="0" distB="0" distL="0" distR="0">
            <wp:extent cx="4114165" cy="2807970"/>
            <wp:effectExtent l="0" t="0" r="635" b="11430"/>
            <wp:docPr id="33" name="图片 33" descr="http://a3.qpic.cn/psb?/019f76f4-db40-42fb-9da6-2483a135218f/UBnya3VoHUEPbMm.*5BzOfRD9kLHV9*q7DlZ.ZK*PZA!/b/dD4BAAAAAAAA&amp;ek=1&amp;kp=1&amp;pt=0&amp;bo=KgQgAwAAAAARECo!&amp;t=5&amp;su=0129914001&amp;tm=1510300800&amp;sce=0-12-12&amp;r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a3.qpic.cn/psb?/019f76f4-db40-42fb-9da6-2483a135218f/UBnya3VoHUEPbMm.*5BzOfRD9kLHV9*q7DlZ.ZK*PZA!/b/dD4BAAAAAAAA&amp;ek=1&amp;kp=1&amp;pt=0&amp;bo=KgQgAwAAAAARECo!&amp;t=5&amp;su=0129914001&amp;tm=1510300800&amp;sce=0-12-12&amp;rf=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114165" cy="2807970"/>
                    </a:xfrm>
                    <a:prstGeom prst="rect">
                      <a:avLst/>
                    </a:prstGeom>
                    <a:noFill/>
                    <a:ln>
                      <a:noFill/>
                    </a:ln>
                  </pic:spPr>
                </pic:pic>
              </a:graphicData>
            </a:graphic>
          </wp:inline>
        </w:drawing>
      </w:r>
    </w:p>
    <w:p>
      <w:pPr>
        <w:spacing w:line="360" w:lineRule="auto"/>
        <w:ind w:firstLine="316" w:firstLineChars="150"/>
        <w:jc w:val="center"/>
        <w:rPr>
          <w:rFonts w:ascii="宋体" w:hAnsi="宋体"/>
          <w:b/>
          <w:szCs w:val="21"/>
        </w:rPr>
      </w:pPr>
      <w:r>
        <w:rPr>
          <w:rFonts w:hint="eastAsia" w:ascii="宋体" w:hAnsi="宋体"/>
          <w:b/>
          <w:szCs w:val="21"/>
        </w:rPr>
        <w:t>图5-1 学院与加拿大哈利法克斯语言学院签署“免雅思、托福、中介”专升本转学分留学加拿大直通车项目合作协议</w:t>
      </w:r>
    </w:p>
    <w:p>
      <w:pPr>
        <w:spacing w:line="360" w:lineRule="auto"/>
        <w:ind w:firstLine="315" w:firstLineChars="150"/>
        <w:jc w:val="center"/>
        <w:rPr>
          <w:rFonts w:ascii="宋体" w:hAnsi="宋体" w:cs="宋体"/>
          <w:kern w:val="0"/>
          <w:szCs w:val="21"/>
        </w:rPr>
      </w:pPr>
      <w:r>
        <w:rPr>
          <w:rFonts w:ascii="宋体" w:hAnsi="宋体" w:cs="宋体"/>
          <w:kern w:val="0"/>
          <w:szCs w:val="21"/>
        </w:rPr>
        <w:drawing>
          <wp:inline distT="0" distB="0" distL="0" distR="0">
            <wp:extent cx="5274310" cy="2672715"/>
            <wp:effectExtent l="0" t="0" r="2540" b="13335"/>
            <wp:docPr id="61" name="图片 61" descr="http://a3.qpic.cn/psb?/019f76f4-db40-42fb-9da6-2483a135218f/soUxGhhiFHKJ9GkRf7.GuAOyYYDY9FREgvvfT6ftJd4!/b/dPIAAAAAAAAA&amp;ek=1&amp;kp=1&amp;pt=0&amp;bo=KgYgAwAAAAARECg!&amp;t=5&amp;su=066180689&amp;tm=1510300800&amp;sce=0-12-12&amp;r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http://a3.qpic.cn/psb?/019f76f4-db40-42fb-9da6-2483a135218f/soUxGhhiFHKJ9GkRf7.GuAOyYYDY9FREgvvfT6ftJd4!/b/dPIAAAAAAAAA&amp;ek=1&amp;kp=1&amp;pt=0&amp;bo=KgYgAwAAAAARECg!&amp;t=5&amp;su=066180689&amp;tm=1510300800&amp;sce=0-12-12&amp;rf=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274310" cy="2673322"/>
                    </a:xfrm>
                    <a:prstGeom prst="rect">
                      <a:avLst/>
                    </a:prstGeom>
                    <a:noFill/>
                    <a:ln>
                      <a:noFill/>
                    </a:ln>
                  </pic:spPr>
                </pic:pic>
              </a:graphicData>
            </a:graphic>
          </wp:inline>
        </w:drawing>
      </w:r>
    </w:p>
    <w:p>
      <w:pPr>
        <w:spacing w:line="360" w:lineRule="auto"/>
        <w:ind w:firstLine="316" w:firstLineChars="150"/>
        <w:jc w:val="center"/>
        <w:rPr>
          <w:rFonts w:ascii="宋体" w:hAnsi="宋体"/>
          <w:b/>
          <w:szCs w:val="21"/>
        </w:rPr>
      </w:pPr>
      <w:r>
        <w:rPr>
          <w:rFonts w:hint="eastAsia" w:ascii="宋体" w:hAnsi="宋体"/>
          <w:b/>
          <w:szCs w:val="21"/>
        </w:rPr>
        <w:t>图5-2 学院与加拿大乔治亚学院研讨学分互认实施框架</w:t>
      </w:r>
    </w:p>
    <w:p>
      <w:pPr>
        <w:pStyle w:val="3"/>
      </w:pPr>
      <w:bookmarkStart w:id="175" w:name="_Toc23564"/>
      <w:bookmarkStart w:id="176" w:name="_Toc16702"/>
      <w:r>
        <w:rPr>
          <w:rFonts w:hint="eastAsia"/>
        </w:rPr>
        <w:t>5.3 双向交流</w:t>
      </w:r>
      <w:bookmarkEnd w:id="175"/>
      <w:bookmarkEnd w:id="176"/>
    </w:p>
    <w:p>
      <w:pPr>
        <w:spacing w:line="360" w:lineRule="auto"/>
        <w:ind w:firstLine="480" w:firstLineChars="200"/>
        <w:rPr>
          <w:rFonts w:ascii="宋体" w:hAnsi="宋体"/>
          <w:sz w:val="24"/>
        </w:rPr>
      </w:pPr>
      <w:r>
        <w:rPr>
          <w:rFonts w:hint="eastAsia" w:ascii="宋体" w:hAnsi="宋体"/>
          <w:sz w:val="24"/>
        </w:rPr>
        <w:t>学院积极开展教师国外研修培训工作，共选派骨干教师及教学管理人员共28人赴境外进行短期研修，选拔27名化工类专业优秀学生到马来西亚英迪大学开展游学夏令营活动。通过海外研修与游学，帮助师生开拓国际视野。接收了新西兰凯特师生15人来校访问交流。</w:t>
      </w:r>
    </w:p>
    <w:p>
      <w:pPr>
        <w:spacing w:line="360" w:lineRule="auto"/>
        <w:ind w:firstLine="360" w:firstLineChars="150"/>
        <w:rPr>
          <w:sz w:val="24"/>
        </w:rPr>
      </w:pPr>
      <w:r>
        <w:rPr>
          <w:sz w:val="24"/>
        </w:rPr>
        <w:drawing>
          <wp:inline distT="0" distB="0" distL="0" distR="0">
            <wp:extent cx="4762500" cy="3571875"/>
            <wp:effectExtent l="0" t="0" r="0" b="9525"/>
            <wp:docPr id="60" name="图片 60" descr="学院教师赴加拿大乔治亚学院研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院教师赴加拿大乔治亚学院研修"/>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762500" cy="3571875"/>
                    </a:xfrm>
                    <a:prstGeom prst="rect">
                      <a:avLst/>
                    </a:prstGeom>
                    <a:noFill/>
                    <a:ln>
                      <a:noFill/>
                    </a:ln>
                  </pic:spPr>
                </pic:pic>
              </a:graphicData>
            </a:graphic>
          </wp:inline>
        </w:drawing>
      </w:r>
    </w:p>
    <w:p>
      <w:pPr>
        <w:spacing w:line="360" w:lineRule="auto"/>
        <w:ind w:firstLine="316" w:firstLineChars="150"/>
        <w:jc w:val="center"/>
        <w:rPr>
          <w:rFonts w:ascii="宋体" w:hAnsi="宋体"/>
          <w:b/>
          <w:szCs w:val="21"/>
        </w:rPr>
      </w:pPr>
      <w:r>
        <w:rPr>
          <w:rFonts w:hint="eastAsia" w:ascii="宋体" w:hAnsi="宋体"/>
          <w:b/>
          <w:szCs w:val="21"/>
        </w:rPr>
        <w:t>图5-3 学院教师在加拿大圣文森山大学考察交流</w:t>
      </w:r>
    </w:p>
    <w:p>
      <w:pPr>
        <w:spacing w:line="360" w:lineRule="auto"/>
        <w:ind w:firstLine="360" w:firstLineChars="150"/>
        <w:rPr>
          <w:sz w:val="24"/>
        </w:rPr>
      </w:pPr>
      <w:r>
        <w:rPr>
          <w:sz w:val="24"/>
        </w:rPr>
        <w:drawing>
          <wp:inline distT="0" distB="0" distL="0" distR="0">
            <wp:extent cx="4762500" cy="3571875"/>
            <wp:effectExtent l="0" t="0" r="0" b="9525"/>
            <wp:docPr id="59" name="图片 59" descr="研习班参观奥克兰商学院校区并与工作人员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研习班参观奥克兰商学院校区并与工作人员合影"/>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762500" cy="3571875"/>
                    </a:xfrm>
                    <a:prstGeom prst="rect">
                      <a:avLst/>
                    </a:prstGeom>
                    <a:noFill/>
                    <a:ln>
                      <a:noFill/>
                    </a:ln>
                  </pic:spPr>
                </pic:pic>
              </a:graphicData>
            </a:graphic>
          </wp:inline>
        </w:drawing>
      </w:r>
    </w:p>
    <w:p>
      <w:pPr>
        <w:spacing w:line="360" w:lineRule="auto"/>
        <w:ind w:firstLine="316" w:firstLineChars="150"/>
        <w:jc w:val="center"/>
        <w:rPr>
          <w:rFonts w:ascii="宋体" w:hAnsi="宋体"/>
          <w:b/>
          <w:szCs w:val="21"/>
        </w:rPr>
      </w:pPr>
      <w:r>
        <w:rPr>
          <w:rFonts w:hint="eastAsia" w:ascii="宋体" w:hAnsi="宋体"/>
          <w:b/>
          <w:szCs w:val="21"/>
        </w:rPr>
        <w:t>图5-4 学院教师在新西兰奥克兰商学院考察交流</w:t>
      </w:r>
    </w:p>
    <w:p>
      <w:pPr>
        <w:spacing w:line="360" w:lineRule="auto"/>
        <w:jc w:val="center"/>
        <w:rPr>
          <w:sz w:val="24"/>
        </w:rPr>
      </w:pPr>
      <w:r>
        <w:drawing>
          <wp:inline distT="0" distB="0" distL="0" distR="0">
            <wp:extent cx="3571875" cy="2679065"/>
            <wp:effectExtent l="0" t="0" r="9525" b="6985"/>
            <wp:docPr id="58" name="图片 58" descr="我校教师黄波兰、陈土军积极参与研修讨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我校教师黄波兰、陈土军积极参与研修讨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571875" cy="2679065"/>
                    </a:xfrm>
                    <a:prstGeom prst="rect">
                      <a:avLst/>
                    </a:prstGeom>
                    <a:noFill/>
                    <a:ln>
                      <a:noFill/>
                    </a:ln>
                  </pic:spPr>
                </pic:pic>
              </a:graphicData>
            </a:graphic>
          </wp:inline>
        </w:drawing>
      </w:r>
    </w:p>
    <w:p>
      <w:pPr>
        <w:jc w:val="center"/>
        <w:rPr>
          <w:rFonts w:ascii="宋体" w:hAnsi="宋体"/>
          <w:b/>
          <w:szCs w:val="21"/>
        </w:rPr>
      </w:pPr>
      <w:r>
        <w:rPr>
          <w:rFonts w:hint="eastAsia" w:ascii="宋体" w:hAnsi="宋体"/>
          <w:b/>
          <w:szCs w:val="21"/>
        </w:rPr>
        <w:t>图5-5 学院教师在新加坡南洋理工大学交流学习</w:t>
      </w:r>
    </w:p>
    <w:p>
      <w:pPr>
        <w:pStyle w:val="22"/>
        <w:spacing w:line="360" w:lineRule="auto"/>
        <w:ind w:firstLine="0" w:firstLineChars="0"/>
        <w:jc w:val="center"/>
        <w:rPr>
          <w:sz w:val="24"/>
        </w:rPr>
      </w:pPr>
      <w:r>
        <w:rPr>
          <w:sz w:val="24"/>
        </w:rPr>
        <w:drawing>
          <wp:inline distT="0" distB="0" distL="0" distR="0">
            <wp:extent cx="3600450" cy="2225040"/>
            <wp:effectExtent l="0" t="0" r="0" b="3810"/>
            <wp:docPr id="63" name="图片 63" descr="4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4168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600450" cy="2225040"/>
                    </a:xfrm>
                    <a:prstGeom prst="rect">
                      <a:avLst/>
                    </a:prstGeom>
                    <a:noFill/>
                    <a:ln>
                      <a:noFill/>
                    </a:ln>
                  </pic:spPr>
                </pic:pic>
              </a:graphicData>
            </a:graphic>
          </wp:inline>
        </w:drawing>
      </w:r>
    </w:p>
    <w:p>
      <w:pPr>
        <w:jc w:val="center"/>
        <w:rPr>
          <w:rFonts w:ascii="宋体" w:hAnsi="宋体"/>
          <w:b/>
          <w:szCs w:val="21"/>
        </w:rPr>
      </w:pPr>
      <w:r>
        <w:rPr>
          <w:rFonts w:hint="eastAsia" w:ascii="宋体" w:hAnsi="宋体"/>
          <w:b/>
          <w:szCs w:val="21"/>
        </w:rPr>
        <w:t>图5-6 新西兰凯特师生来校交流学习</w:t>
      </w:r>
    </w:p>
    <w:p>
      <w:pPr>
        <w:spacing w:line="360" w:lineRule="auto"/>
        <w:jc w:val="center"/>
        <w:rPr>
          <w:sz w:val="24"/>
        </w:rPr>
      </w:pPr>
      <w:r>
        <w:drawing>
          <wp:inline distT="0" distB="0" distL="0" distR="0">
            <wp:extent cx="4057650" cy="2726690"/>
            <wp:effectExtent l="0" t="0" r="0" b="16510"/>
            <wp:docPr id="57" name="图片 57" descr="48725_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48725_500x5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057650" cy="2726690"/>
                    </a:xfrm>
                    <a:prstGeom prst="rect">
                      <a:avLst/>
                    </a:prstGeom>
                    <a:noFill/>
                    <a:ln>
                      <a:noFill/>
                    </a:ln>
                  </pic:spPr>
                </pic:pic>
              </a:graphicData>
            </a:graphic>
          </wp:inline>
        </w:drawing>
      </w:r>
    </w:p>
    <w:p>
      <w:pPr>
        <w:jc w:val="center"/>
        <w:rPr>
          <w:rFonts w:ascii="宋体" w:hAnsi="宋体"/>
          <w:b/>
          <w:szCs w:val="21"/>
        </w:rPr>
      </w:pPr>
      <w:r>
        <w:rPr>
          <w:rFonts w:hint="eastAsia" w:ascii="宋体" w:hAnsi="宋体"/>
          <w:b/>
          <w:szCs w:val="21"/>
        </w:rPr>
        <w:t>图5-7 学院学生在马来西亚英迪国际大学交流学习</w:t>
      </w:r>
    </w:p>
    <w:p>
      <w:pPr>
        <w:spacing w:line="580" w:lineRule="exact"/>
        <w:ind w:firstLine="601"/>
        <w:rPr>
          <w:rFonts w:eastAsia="黑体"/>
          <w:sz w:val="32"/>
          <w:szCs w:val="32"/>
        </w:rPr>
      </w:pPr>
      <w:r>
        <w:rPr>
          <w:rFonts w:eastAsia="黑体"/>
          <w:sz w:val="32"/>
          <w:szCs w:val="32"/>
        </w:rPr>
        <w:br w:type="page"/>
      </w:r>
    </w:p>
    <w:p>
      <w:pPr>
        <w:pStyle w:val="2"/>
        <w:rPr>
          <w:rFonts w:hint="default"/>
        </w:rPr>
      </w:pPr>
      <w:bookmarkStart w:id="177" w:name="_Toc5859"/>
      <w:r>
        <w:t>6改革创新</w:t>
      </w:r>
      <w:bookmarkEnd w:id="177"/>
    </w:p>
    <w:p>
      <w:pPr>
        <w:pStyle w:val="3"/>
      </w:pPr>
      <w:bookmarkStart w:id="178" w:name="_Toc465427249"/>
      <w:bookmarkStart w:id="179" w:name="_Toc465531253"/>
      <w:bookmarkStart w:id="180" w:name="_Toc29633"/>
      <w:bookmarkStart w:id="181" w:name="_Toc4858"/>
      <w:r>
        <w:rPr>
          <w:rFonts w:hint="eastAsia"/>
        </w:rPr>
        <w:t>6.1 完善顶层设计，办学思路和定位更加清晰准确</w:t>
      </w:r>
      <w:bookmarkEnd w:id="178"/>
      <w:bookmarkEnd w:id="179"/>
      <w:bookmarkEnd w:id="180"/>
      <w:bookmarkEnd w:id="181"/>
    </w:p>
    <w:p>
      <w:pPr>
        <w:pStyle w:val="4"/>
        <w:spacing w:before="156" w:after="156"/>
        <w:ind w:firstLine="562"/>
        <w:rPr>
          <w:color w:val="000000" w:themeColor="text1"/>
        </w:rPr>
      </w:pPr>
      <w:bookmarkStart w:id="182" w:name="_Toc5928"/>
      <w:bookmarkStart w:id="183" w:name="_Toc12303"/>
      <w:r>
        <w:rPr>
          <w:rFonts w:hint="eastAsia"/>
          <w:color w:val="000000" w:themeColor="text1"/>
        </w:rPr>
        <w:t>（1）完善顶层设计</w:t>
      </w:r>
      <w:bookmarkEnd w:id="182"/>
      <w:bookmarkEnd w:id="183"/>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深入学习国务院和省委、省政府《关于加快发展现代职业教育的决定》等文件精神，结合学院实际开展讨论20余次，邀请省内外知名职教专家来校指导、讲座30余次，更新办学理念，进一步明确了“根植化工，坚持走内涵式、开放型、特色化、创新驱动发展道路”的办学思路，确立了“创建办学特色鲜明的卓越高职学院”的办学目标与类型定位、明晰了“立足湖南、辐射全国，提升引领化工产业发展”的服务面向定位、“培养具有‘工匠精神’、能适应化工智能制造、精准作业与服务要求的高素质技术技能人才”的人才培养定位。</w:t>
      </w:r>
    </w:p>
    <w:p>
      <w:pPr>
        <w:pStyle w:val="4"/>
        <w:spacing w:before="156" w:after="156"/>
        <w:ind w:firstLine="562"/>
        <w:rPr>
          <w:color w:val="000000" w:themeColor="text1"/>
        </w:rPr>
      </w:pPr>
      <w:bookmarkStart w:id="184" w:name="_Toc27470"/>
      <w:bookmarkStart w:id="185" w:name="_Toc19313"/>
      <w:r>
        <w:rPr>
          <w:rFonts w:hint="eastAsia"/>
          <w:color w:val="000000" w:themeColor="text1"/>
        </w:rPr>
        <w:t>（2）创新产教融合办学模式</w:t>
      </w:r>
      <w:bookmarkEnd w:id="184"/>
      <w:bookmarkEnd w:id="185"/>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与巴陵石化等企业合作，成立了包括涂料应用技术研发与生产中心在内的“应用技术协同创新中心”，与兴隆新材料公司合作建立了国家级企业技术中心，与广东梦采生物科技公司签订了建立企业特色学院合作协议，启动了项目建设。大力推行集团化办学，与湖南化工职教集团内企业开展订单培养、技术合作等指标比五年前年增长了4倍以上。</w:t>
      </w:r>
    </w:p>
    <w:p>
      <w:pPr>
        <w:pStyle w:val="4"/>
        <w:spacing w:before="156" w:after="156"/>
        <w:ind w:firstLine="562"/>
        <w:rPr>
          <w:color w:val="000000" w:themeColor="text1"/>
        </w:rPr>
      </w:pPr>
      <w:bookmarkStart w:id="186" w:name="_Toc31226"/>
      <w:bookmarkStart w:id="187" w:name="_Toc27989"/>
      <w:r>
        <w:rPr>
          <w:rFonts w:hint="eastAsia"/>
          <w:color w:val="000000" w:themeColor="text1"/>
        </w:rPr>
        <w:t>（3）大力推进开放办学</w:t>
      </w:r>
      <w:bookmarkEnd w:id="186"/>
      <w:bookmarkEnd w:id="187"/>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与美国日内瓦学院、马来西亚英迪大学等签订合作协议，开展国际交流互访13次，送培师生193人；与兄弟院校开展经验交流40余次；承办中国制造2025与职业教育创新发展论坛等省级以上各种教学和理论研讨活动17次，接待校外师生5000余人次；开展社会培训14000余人次，承接省中高职骨干教师培训8期800余人。</w:t>
      </w:r>
    </w:p>
    <w:p>
      <w:pPr>
        <w:pStyle w:val="3"/>
      </w:pPr>
      <w:bookmarkStart w:id="188" w:name="_Toc465531254"/>
      <w:bookmarkStart w:id="189" w:name="_Toc465427250"/>
      <w:bookmarkStart w:id="190" w:name="_Toc6672"/>
      <w:bookmarkStart w:id="191" w:name="_Toc1983"/>
      <w:r>
        <w:rPr>
          <w:rFonts w:hint="eastAsia"/>
        </w:rPr>
        <w:t>6.2 坚持特色与创新，专业群建设取得新突破</w:t>
      </w:r>
      <w:bookmarkEnd w:id="188"/>
      <w:bookmarkEnd w:id="189"/>
      <w:bookmarkEnd w:id="190"/>
      <w:bookmarkEnd w:id="191"/>
    </w:p>
    <w:p>
      <w:pPr>
        <w:pStyle w:val="4"/>
        <w:spacing w:before="156" w:after="156"/>
        <w:ind w:firstLine="562"/>
        <w:rPr>
          <w:color w:val="000000" w:themeColor="text1"/>
        </w:rPr>
      </w:pPr>
      <w:bookmarkStart w:id="192" w:name="_Toc19759"/>
      <w:bookmarkStart w:id="193" w:name="_Toc25524"/>
      <w:r>
        <w:rPr>
          <w:rFonts w:hint="eastAsia"/>
          <w:color w:val="000000" w:themeColor="text1"/>
        </w:rPr>
        <w:t>（1）完善专业动态调整机制</w:t>
      </w:r>
      <w:bookmarkEnd w:id="192"/>
      <w:bookmarkEnd w:id="193"/>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在湖南海利集团等龙头企业设立了15个岗位监测站，完善了“两对准、两调整”的专业动态调整机制。</w:t>
      </w:r>
    </w:p>
    <w:p>
      <w:pPr>
        <w:pStyle w:val="4"/>
        <w:spacing w:before="156" w:after="156"/>
        <w:ind w:firstLine="562"/>
        <w:rPr>
          <w:color w:val="000000" w:themeColor="text1"/>
        </w:rPr>
      </w:pPr>
      <w:bookmarkStart w:id="194" w:name="_Toc21149"/>
      <w:bookmarkStart w:id="195" w:name="_Toc3048"/>
      <w:r>
        <w:rPr>
          <w:rFonts w:hint="eastAsia"/>
          <w:color w:val="000000" w:themeColor="text1"/>
        </w:rPr>
        <w:t>（2）调整优化专业结构</w:t>
      </w:r>
      <w:bookmarkEnd w:id="194"/>
      <w:bookmarkEnd w:id="195"/>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对接高端专用化学品(药品)生产，新增了化妆品技术等3个专业，构建了5个专业群，明确了3个重点建设专业群。化工生产技术专业群立项为省示范性特色专业群，说专业群竞赛获省级一等奖。</w:t>
      </w:r>
    </w:p>
    <w:p>
      <w:pPr>
        <w:pStyle w:val="4"/>
        <w:spacing w:before="156" w:after="156"/>
        <w:ind w:firstLine="562"/>
        <w:rPr>
          <w:color w:val="000000" w:themeColor="text1"/>
        </w:rPr>
      </w:pPr>
      <w:bookmarkStart w:id="196" w:name="_Toc6945"/>
      <w:bookmarkStart w:id="197" w:name="_Toc26109"/>
      <w:r>
        <w:rPr>
          <w:rFonts w:hint="eastAsia"/>
          <w:color w:val="000000" w:themeColor="text1"/>
        </w:rPr>
        <w:t>（3）高标准建设对接现场紧密的生产性实训基地</w:t>
      </w:r>
      <w:bookmarkEnd w:id="196"/>
      <w:bookmarkEnd w:id="197"/>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建设了化工单元操作等实训中心5个。其中，投资2000余万元建成以煤制甲醇综合实训车间为中心的国内一流校内仿真工厂，承担兴隆化工等企业1000余名员工和中南大学等300余名学生生产性实训。《中国教育报》头版对学院生产性实训基地资源共享服务进行了报道。</w:t>
      </w:r>
    </w:p>
    <w:p>
      <w:pPr>
        <w:pStyle w:val="3"/>
      </w:pPr>
      <w:bookmarkStart w:id="198" w:name="_Toc465531255"/>
      <w:bookmarkStart w:id="199" w:name="_Toc465427251"/>
      <w:bookmarkStart w:id="200" w:name="_Toc22429"/>
      <w:bookmarkStart w:id="201" w:name="_Toc2779"/>
      <w:r>
        <w:rPr>
          <w:rFonts w:hint="eastAsia"/>
        </w:rPr>
        <w:t>6.3 坚持固本强基，师资队伍建设获得新成就</w:t>
      </w:r>
      <w:bookmarkEnd w:id="198"/>
      <w:bookmarkEnd w:id="199"/>
      <w:bookmarkEnd w:id="200"/>
      <w:bookmarkEnd w:id="201"/>
    </w:p>
    <w:p>
      <w:pPr>
        <w:pStyle w:val="4"/>
        <w:spacing w:before="156" w:after="156"/>
        <w:ind w:firstLine="562"/>
        <w:rPr>
          <w:color w:val="000000" w:themeColor="text1"/>
        </w:rPr>
      </w:pPr>
      <w:bookmarkStart w:id="202" w:name="_Toc16066"/>
      <w:bookmarkStart w:id="203" w:name="_Toc16731"/>
      <w:r>
        <w:rPr>
          <w:rFonts w:hint="eastAsia"/>
          <w:color w:val="000000" w:themeColor="text1"/>
        </w:rPr>
        <w:t>（1）完善教师队伍建设长效机制</w:t>
      </w:r>
      <w:bookmarkEnd w:id="202"/>
      <w:bookmarkEnd w:id="203"/>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2015年以来，修订了“双师”教师认定办法，制定了教师信息化应用能力标准等8个教师管理制度，进一步完善了教师队伍建设机制。</w:t>
      </w:r>
    </w:p>
    <w:p>
      <w:pPr>
        <w:pStyle w:val="4"/>
        <w:spacing w:before="156" w:after="156"/>
        <w:ind w:firstLine="562"/>
        <w:rPr>
          <w:color w:val="000000" w:themeColor="text1"/>
        </w:rPr>
      </w:pPr>
      <w:bookmarkStart w:id="204" w:name="_Toc22392"/>
      <w:bookmarkStart w:id="205" w:name="_Toc13119"/>
      <w:r>
        <w:rPr>
          <w:rFonts w:hint="eastAsia"/>
          <w:color w:val="000000" w:themeColor="text1"/>
        </w:rPr>
        <w:t>（2）实施“拔尖创新人才支持计划”</w:t>
      </w:r>
      <w:bookmarkEnd w:id="204"/>
      <w:bookmarkEnd w:id="205"/>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特聘美国优创公司董事长谭飞博士为客座教授，聘请刘卫东、罗和安等行业知名专家5人及邹浪、李春等技能大师6人。新增教授4人、全国行业名师2人、“黄炎培”杰出教师2人，引进企业骨干技术人员7人、博士6人，聘用外籍教师2人，建立了名师和大师、教授与博士工作室10个；送教师到企业挂职锻炼20人、到境外研修76人。</w:t>
      </w:r>
    </w:p>
    <w:p>
      <w:pPr>
        <w:pStyle w:val="4"/>
        <w:spacing w:before="156" w:after="156"/>
        <w:ind w:firstLine="562"/>
        <w:rPr>
          <w:color w:val="000000" w:themeColor="text1"/>
        </w:rPr>
      </w:pPr>
      <w:bookmarkStart w:id="206" w:name="_Toc20314"/>
      <w:bookmarkStart w:id="207" w:name="_Toc30481"/>
      <w:r>
        <w:rPr>
          <w:rFonts w:hint="eastAsia"/>
          <w:color w:val="000000" w:themeColor="text1"/>
        </w:rPr>
        <w:t>（3）加强了教学团队建设</w:t>
      </w:r>
      <w:bookmarkEnd w:id="206"/>
      <w:bookmarkEnd w:id="207"/>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完善了《兼职教师管理办法》，将企业兼职教师课酬提高一倍，吸引了索菲亚等知名企业100余名能工巧匠来校教学；制定了课堂教学质量提升方案，开展了课堂十佳及教学标兵评选，营造了争上“优”课的良好氛围。应用化工技术、制药技术专业教学团队获评全国石化工业优秀教学团队。</w:t>
      </w:r>
    </w:p>
    <w:p>
      <w:pPr>
        <w:pStyle w:val="3"/>
      </w:pPr>
      <w:bookmarkStart w:id="208" w:name="_Toc465427252"/>
      <w:bookmarkStart w:id="209" w:name="_Toc465531256"/>
      <w:bookmarkStart w:id="210" w:name="_Toc7815"/>
      <w:bookmarkStart w:id="211" w:name="_Toc20458"/>
      <w:r>
        <w:rPr>
          <w:rFonts w:hint="eastAsia"/>
        </w:rPr>
        <w:t>6.4 完善治理体系，治理能力迈上新台阶</w:t>
      </w:r>
      <w:bookmarkEnd w:id="208"/>
      <w:bookmarkEnd w:id="209"/>
      <w:bookmarkEnd w:id="210"/>
      <w:bookmarkEnd w:id="211"/>
    </w:p>
    <w:p>
      <w:pPr>
        <w:pStyle w:val="4"/>
        <w:spacing w:before="156" w:after="156"/>
        <w:ind w:firstLine="562"/>
        <w:rPr>
          <w:color w:val="000000" w:themeColor="text1"/>
        </w:rPr>
      </w:pPr>
      <w:bookmarkStart w:id="212" w:name="_Toc2834"/>
      <w:bookmarkStart w:id="213" w:name="_Toc4357"/>
      <w:r>
        <w:rPr>
          <w:rFonts w:hint="eastAsia"/>
          <w:color w:val="000000" w:themeColor="text1"/>
        </w:rPr>
        <w:t>（1）完善治理结构</w:t>
      </w:r>
      <w:bookmarkEnd w:id="212"/>
      <w:bookmarkEnd w:id="213"/>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制定了具有学院特色的章程，进一步落实了党委领导下的校长负责制，完成了学术委员会的换届并优化了成员结构，突出教授治学；成立了5个二级学院，推行校院两级管理。学院章程建设立项为“湖南省现代大学制度建设项目”。</w:t>
      </w:r>
    </w:p>
    <w:p>
      <w:pPr>
        <w:pStyle w:val="4"/>
        <w:spacing w:before="156" w:after="156"/>
        <w:ind w:firstLine="562"/>
        <w:rPr>
          <w:color w:val="000000" w:themeColor="text1"/>
        </w:rPr>
      </w:pPr>
      <w:bookmarkStart w:id="214" w:name="_Toc31648"/>
      <w:bookmarkStart w:id="215" w:name="_Toc258"/>
      <w:r>
        <w:rPr>
          <w:rFonts w:hint="eastAsia"/>
          <w:color w:val="000000" w:themeColor="text1"/>
        </w:rPr>
        <w:t>（2）加强制度机制建设</w:t>
      </w:r>
      <w:bookmarkEnd w:id="214"/>
      <w:bookmarkEnd w:id="215"/>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加快完善与章程配套的制度体系建设，废除制度20个、修订完善制度40个、新建制度15个，完善了运行机制。</w:t>
      </w:r>
    </w:p>
    <w:p>
      <w:pPr>
        <w:pStyle w:val="4"/>
        <w:spacing w:before="156" w:after="156"/>
        <w:ind w:firstLine="562"/>
        <w:rPr>
          <w:color w:val="000000" w:themeColor="text1"/>
        </w:rPr>
      </w:pPr>
      <w:bookmarkStart w:id="216" w:name="_Toc10903"/>
      <w:bookmarkStart w:id="217" w:name="_Toc25615"/>
      <w:r>
        <w:rPr>
          <w:rFonts w:hint="eastAsia"/>
          <w:color w:val="000000" w:themeColor="text1"/>
        </w:rPr>
        <w:t>（3）加强校园综合治理</w:t>
      </w:r>
      <w:bookmarkEnd w:id="216"/>
      <w:bookmarkEnd w:id="217"/>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学院先后获厅委直属单位综治工作(平安建设)“先进单位”称号，被市、区政府分别评为“社会管理综合治理先进单位”。以省级“平安高校”建设为抓手，强化规范管理，连续三年实现六个“零”综合治理目标。</w:t>
      </w:r>
    </w:p>
    <w:p>
      <w:pPr>
        <w:spacing w:line="360" w:lineRule="auto"/>
        <w:ind w:firstLine="480"/>
        <w:rPr>
          <w:rFonts w:ascii="宋体" w:hAnsi="宋体"/>
          <w:sz w:val="24"/>
        </w:rPr>
      </w:pPr>
    </w:p>
    <w:p>
      <w:pPr>
        <w:spacing w:line="360" w:lineRule="auto"/>
        <w:jc w:val="center"/>
        <w:rPr>
          <w:rFonts w:ascii="宋体" w:hAnsi="宋体"/>
          <w:b/>
          <w:szCs w:val="21"/>
        </w:rPr>
      </w:pPr>
      <w:r>
        <w:rPr>
          <w:rFonts w:hint="eastAsia" w:ascii="宋体" w:hAnsi="宋体"/>
          <w:b/>
          <w:szCs w:val="21"/>
        </w:rPr>
        <w:br w:type="page"/>
      </w:r>
    </w:p>
    <w:p>
      <w:pPr>
        <w:pStyle w:val="2"/>
        <w:rPr>
          <w:rFonts w:hint="default"/>
        </w:rPr>
      </w:pPr>
      <w:bookmarkStart w:id="218" w:name="_Toc31497"/>
      <w:r>
        <w:t>7服务与贡献</w:t>
      </w:r>
      <w:bookmarkEnd w:id="218"/>
    </w:p>
    <w:p>
      <w:pPr>
        <w:pStyle w:val="3"/>
      </w:pPr>
      <w:bookmarkStart w:id="219" w:name="_Toc29242"/>
      <w:bookmarkStart w:id="220" w:name="_Toc10789"/>
      <w:r>
        <w:rPr>
          <w:rFonts w:hint="eastAsia"/>
        </w:rPr>
        <w:t>7.1 服务贡献度</w:t>
      </w:r>
      <w:bookmarkEnd w:id="219"/>
      <w:bookmarkEnd w:id="220"/>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2017年，学院持续贯彻落实高等职业教育创新发展行动计划任务，以省级卓越高职院院校项目建设为龙头，不断深化内涵发展，社会贡献度不断提升。主要表现为：</w:t>
      </w:r>
    </w:p>
    <w:p>
      <w:pPr>
        <w:pStyle w:val="4"/>
        <w:spacing w:before="156" w:after="156"/>
        <w:ind w:firstLine="562"/>
        <w:rPr>
          <w:color w:val="000000" w:themeColor="text1"/>
        </w:rPr>
      </w:pPr>
      <w:bookmarkStart w:id="221" w:name="_Toc23147"/>
      <w:bookmarkStart w:id="222" w:name="_Toc25447"/>
      <w:r>
        <w:rPr>
          <w:rFonts w:hint="eastAsia"/>
          <w:color w:val="000000" w:themeColor="text1"/>
        </w:rPr>
        <w:t>（1）服务企业发展的高素质技术技能人才培养工作成效突出</w:t>
      </w:r>
      <w:bookmarkEnd w:id="221"/>
      <w:bookmarkEnd w:id="222"/>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一是毕业生规模较上一年度增长485人，且留在湖南本地就业较上一年度增加4.2个百分点，对本地经济发展的服务贡献度不断提高。二是到500强企业就业比例增长5.27个百分点，学生就业竞争力明显提升。</w:t>
      </w:r>
    </w:p>
    <w:p>
      <w:pPr>
        <w:pStyle w:val="4"/>
        <w:spacing w:before="156" w:after="156"/>
        <w:ind w:firstLine="562"/>
        <w:rPr>
          <w:color w:val="000000" w:themeColor="text1"/>
        </w:rPr>
      </w:pPr>
      <w:bookmarkStart w:id="223" w:name="_Toc28284"/>
      <w:bookmarkStart w:id="224" w:name="_Toc15314"/>
      <w:r>
        <w:rPr>
          <w:rFonts w:hint="eastAsia"/>
          <w:color w:val="000000" w:themeColor="text1"/>
        </w:rPr>
        <w:t>（2）服务企业发展的项目合作不断开创新局面</w:t>
      </w:r>
      <w:bookmarkEnd w:id="223"/>
      <w:bookmarkEnd w:id="224"/>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2017年，学院为企业开展各类人员培训100余场次，实施职业资格鉴定500余人次，为企业技术升级、员工职业发展夯实了基础；与合作企业开展技术研发与服务为主的横向项目合作50余项，服务企业技术、工艺改造，每年为企业节省成本近数百万元，创造经济价值约2000万元。</w:t>
      </w:r>
    </w:p>
    <w:p>
      <w:pPr>
        <w:pStyle w:val="4"/>
        <w:spacing w:before="156" w:after="156"/>
        <w:ind w:firstLine="562"/>
        <w:rPr>
          <w:color w:val="000000" w:themeColor="text1"/>
        </w:rPr>
      </w:pPr>
      <w:bookmarkStart w:id="225" w:name="_Toc28302"/>
      <w:bookmarkStart w:id="226" w:name="_Toc24112"/>
      <w:r>
        <w:rPr>
          <w:rFonts w:hint="eastAsia"/>
          <w:color w:val="000000" w:themeColor="text1"/>
        </w:rPr>
        <w:t>（3）服务社区的能力建设越上新的台阶</w:t>
      </w:r>
      <w:bookmarkEnd w:id="225"/>
      <w:bookmarkEnd w:id="226"/>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学院利用场地优势和学院教师的智力优势等，不断深化社区教育服务工作，累计立项社区教育课程23门，全年为社区居民开放学院场馆37场次，举办健康保健、通识教育类公益性科普讲座53场次，为丰富社区居民生活提供了强有力的支撑。</w:t>
      </w:r>
    </w:p>
    <w:p>
      <w:pPr>
        <w:jc w:val="center"/>
        <w:rPr>
          <w:rFonts w:ascii="宋体" w:hAnsi="宋体"/>
          <w:b/>
          <w:szCs w:val="21"/>
        </w:rPr>
      </w:pPr>
      <w:r>
        <w:rPr>
          <w:rFonts w:hint="eastAsia" w:ascii="宋体" w:hAnsi="宋体"/>
          <w:b/>
          <w:szCs w:val="21"/>
        </w:rPr>
        <w:br w:type="page"/>
      </w:r>
    </w:p>
    <w:p>
      <w:pPr>
        <w:jc w:val="center"/>
        <w:rPr>
          <w:rFonts w:ascii="宋体" w:hAnsi="宋体"/>
          <w:b/>
          <w:szCs w:val="21"/>
        </w:rPr>
      </w:pPr>
      <w:r>
        <w:rPr>
          <w:rFonts w:hint="eastAsia" w:ascii="宋体" w:hAnsi="宋体"/>
          <w:b/>
          <w:szCs w:val="21"/>
        </w:rPr>
        <w:t>表7-1 服务贡献表</w:t>
      </w:r>
    </w:p>
    <w:tbl>
      <w:tblPr>
        <w:tblStyle w:val="18"/>
        <w:tblW w:w="9063" w:type="dxa"/>
        <w:jc w:val="center"/>
        <w:tblInd w:w="-81" w:type="dxa"/>
        <w:tblLayout w:type="fixed"/>
        <w:tblCellMar>
          <w:top w:w="0" w:type="dxa"/>
          <w:left w:w="108" w:type="dxa"/>
          <w:bottom w:w="0" w:type="dxa"/>
          <w:right w:w="108" w:type="dxa"/>
        </w:tblCellMar>
      </w:tblPr>
      <w:tblGrid>
        <w:gridCol w:w="879"/>
        <w:gridCol w:w="799"/>
        <w:gridCol w:w="453"/>
        <w:gridCol w:w="3683"/>
        <w:gridCol w:w="1135"/>
        <w:gridCol w:w="993"/>
        <w:gridCol w:w="1121"/>
      </w:tblGrid>
      <w:tr>
        <w:tblPrEx>
          <w:tblLayout w:type="fixed"/>
          <w:tblCellMar>
            <w:top w:w="0" w:type="dxa"/>
            <w:left w:w="108" w:type="dxa"/>
            <w:bottom w:w="0" w:type="dxa"/>
            <w:right w:w="108" w:type="dxa"/>
          </w:tblCellMar>
        </w:tblPrEx>
        <w:trPr>
          <w:trHeight w:val="420" w:hRule="atLeast"/>
          <w:jc w:val="center"/>
        </w:trPr>
        <w:tc>
          <w:tcPr>
            <w:tcW w:w="87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b/>
                <w:bCs/>
                <w:kern w:val="0"/>
                <w:sz w:val="24"/>
              </w:rPr>
            </w:pPr>
            <w:r>
              <w:rPr>
                <w:rFonts w:hint="eastAsia" w:ascii="仿宋" w:hAnsi="仿宋" w:eastAsia="仿宋" w:cs="宋体"/>
                <w:b/>
                <w:bCs/>
                <w:kern w:val="0"/>
                <w:sz w:val="24"/>
              </w:rPr>
              <w:t>院校代码</w:t>
            </w:r>
          </w:p>
        </w:tc>
        <w:tc>
          <w:tcPr>
            <w:tcW w:w="79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b/>
                <w:bCs/>
                <w:kern w:val="0"/>
                <w:sz w:val="24"/>
              </w:rPr>
            </w:pPr>
            <w:r>
              <w:rPr>
                <w:rFonts w:hint="eastAsia" w:ascii="仿宋" w:hAnsi="仿宋" w:eastAsia="仿宋" w:cs="宋体"/>
                <w:b/>
                <w:bCs/>
                <w:kern w:val="0"/>
                <w:sz w:val="24"/>
              </w:rPr>
              <w:t>院校名称</w:t>
            </w:r>
          </w:p>
        </w:tc>
        <w:tc>
          <w:tcPr>
            <w:tcW w:w="413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指标</w:t>
            </w:r>
          </w:p>
        </w:tc>
        <w:tc>
          <w:tcPr>
            <w:tcW w:w="113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单位</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2016年</w:t>
            </w:r>
          </w:p>
        </w:tc>
        <w:tc>
          <w:tcPr>
            <w:tcW w:w="112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2017年</w:t>
            </w:r>
          </w:p>
        </w:tc>
      </w:tr>
      <w:tr>
        <w:tblPrEx>
          <w:tblLayout w:type="fixed"/>
          <w:tblCellMar>
            <w:top w:w="0" w:type="dxa"/>
            <w:left w:w="108" w:type="dxa"/>
            <w:bottom w:w="0" w:type="dxa"/>
            <w:right w:w="108" w:type="dxa"/>
          </w:tblCellMar>
        </w:tblPrEx>
        <w:trPr>
          <w:trHeight w:val="420" w:hRule="atLeast"/>
          <w:jc w:val="center"/>
        </w:trPr>
        <w:tc>
          <w:tcPr>
            <w:tcW w:w="879" w:type="dxa"/>
            <w:vMerge w:val="restart"/>
            <w:tcBorders>
              <w:top w:val="single" w:color="auto" w:sz="4" w:space="0"/>
              <w:left w:val="single" w:color="auto" w:sz="4" w:space="0"/>
              <w:right w:val="single" w:color="auto" w:sz="4" w:space="0"/>
            </w:tcBorders>
            <w:shd w:val="clear" w:color="000000" w:fill="FFFFFF"/>
            <w:vAlign w:val="center"/>
          </w:tcPr>
          <w:p>
            <w:pPr>
              <w:jc w:val="center"/>
              <w:rPr>
                <w:rFonts w:ascii="仿宋" w:hAnsi="仿宋" w:eastAsia="仿宋" w:cs="宋体"/>
                <w:kern w:val="0"/>
                <w:sz w:val="24"/>
              </w:rPr>
            </w:pPr>
            <w:r>
              <w:rPr>
                <w:rFonts w:hint="eastAsia" w:ascii="仿宋" w:hAnsi="仿宋" w:eastAsia="仿宋" w:cs="宋体"/>
                <w:kern w:val="0"/>
                <w:sz w:val="24"/>
              </w:rPr>
              <w:t>13043</w:t>
            </w:r>
          </w:p>
        </w:tc>
        <w:tc>
          <w:tcPr>
            <w:tcW w:w="799" w:type="dxa"/>
            <w:vMerge w:val="restart"/>
            <w:tcBorders>
              <w:top w:val="single" w:color="auto" w:sz="4" w:space="0"/>
              <w:left w:val="single" w:color="auto" w:sz="4" w:space="0"/>
              <w:right w:val="single" w:color="auto" w:sz="4" w:space="0"/>
            </w:tcBorders>
            <w:shd w:val="clear" w:color="000000" w:fill="FFFFFF"/>
            <w:vAlign w:val="center"/>
          </w:tcPr>
          <w:p>
            <w:pPr>
              <w:jc w:val="center"/>
              <w:rPr>
                <w:rFonts w:ascii="仿宋" w:hAnsi="仿宋" w:eastAsia="仿宋" w:cs="宋体"/>
                <w:kern w:val="0"/>
                <w:sz w:val="24"/>
              </w:rPr>
            </w:pPr>
            <w:r>
              <w:rPr>
                <w:rFonts w:hint="eastAsia" w:ascii="仿宋" w:hAnsi="仿宋" w:eastAsia="仿宋" w:cs="宋体"/>
                <w:kern w:val="0"/>
                <w:sz w:val="24"/>
              </w:rPr>
              <w:t>湖南化工职业技术学院</w:t>
            </w:r>
          </w:p>
        </w:tc>
        <w:tc>
          <w:tcPr>
            <w:tcW w:w="453" w:type="dxa"/>
            <w:vMerge w:val="restart"/>
            <w:tcBorders>
              <w:top w:val="single" w:color="auto" w:sz="4" w:space="0"/>
              <w:left w:val="single" w:color="auto" w:sz="4" w:space="0"/>
              <w:right w:val="single" w:color="auto" w:sz="4" w:space="0"/>
            </w:tcBorders>
            <w:shd w:val="clear" w:color="000000" w:fill="FFFFFF"/>
            <w:vAlign w:val="center"/>
          </w:tcPr>
          <w:p>
            <w:pPr>
              <w:jc w:val="center"/>
              <w:rPr>
                <w:rFonts w:ascii="仿宋" w:hAnsi="仿宋" w:eastAsia="仿宋" w:cs="宋体"/>
                <w:kern w:val="0"/>
                <w:sz w:val="24"/>
              </w:rPr>
            </w:pPr>
            <w:r>
              <w:rPr>
                <w:rFonts w:hint="eastAsia" w:ascii="仿宋" w:hAnsi="仿宋" w:eastAsia="仿宋" w:cs="宋体"/>
                <w:kern w:val="0"/>
                <w:sz w:val="24"/>
              </w:rPr>
              <w:t>1</w:t>
            </w:r>
          </w:p>
        </w:tc>
        <w:tc>
          <w:tcPr>
            <w:tcW w:w="3683"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全日制在校生人数</w:t>
            </w:r>
          </w:p>
        </w:tc>
        <w:tc>
          <w:tcPr>
            <w:tcW w:w="113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r>
              <w:rPr>
                <w:rFonts w:hint="eastAsia" w:ascii="仿宋" w:hAnsi="仿宋" w:eastAsia="仿宋" w:cs="宋体"/>
                <w:kern w:val="0"/>
                <w:sz w:val="24"/>
              </w:rPr>
              <w:t>8005</w:t>
            </w:r>
          </w:p>
        </w:tc>
        <w:tc>
          <w:tcPr>
            <w:tcW w:w="112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r>
              <w:rPr>
                <w:rFonts w:hint="eastAsia" w:ascii="仿宋" w:hAnsi="仿宋" w:eastAsia="仿宋" w:cs="宋体"/>
                <w:kern w:val="0"/>
                <w:sz w:val="24"/>
              </w:rPr>
              <w:t>9511</w:t>
            </w: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p>
        </w:tc>
        <w:tc>
          <w:tcPr>
            <w:tcW w:w="799" w:type="dxa"/>
            <w:vMerge w:val="continue"/>
            <w:tcBorders>
              <w:left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p>
        </w:tc>
        <w:tc>
          <w:tcPr>
            <w:tcW w:w="453" w:type="dxa"/>
            <w:vMerge w:val="continue"/>
            <w:tcBorders>
              <w:left w:val="single" w:color="auto" w:sz="4" w:space="0"/>
              <w:right w:val="single" w:color="auto" w:sz="4" w:space="0"/>
            </w:tcBorders>
            <w:shd w:val="clear" w:color="000000" w:fill="FFFFFF"/>
            <w:vAlign w:val="center"/>
          </w:tcPr>
          <w:p>
            <w:pPr>
              <w:widowControl/>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毕业生人数</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r>
              <w:rPr>
                <w:rFonts w:hint="eastAsia" w:ascii="仿宋" w:hAnsi="仿宋" w:eastAsia="仿宋" w:cs="宋体"/>
                <w:kern w:val="0"/>
                <w:sz w:val="24"/>
              </w:rPr>
              <w:t>1993</w:t>
            </w:r>
          </w:p>
        </w:tc>
        <w:tc>
          <w:tcPr>
            <w:tcW w:w="112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r>
              <w:rPr>
                <w:rFonts w:hint="eastAsia" w:ascii="仿宋" w:hAnsi="仿宋" w:eastAsia="仿宋" w:cs="宋体"/>
                <w:kern w:val="0"/>
                <w:sz w:val="24"/>
              </w:rPr>
              <w:t>2478</w:t>
            </w: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仿宋" w:hAnsi="仿宋" w:eastAsia="仿宋" w:cs="宋体"/>
                <w:kern w:val="0"/>
                <w:sz w:val="24"/>
              </w:rPr>
            </w:pPr>
            <w:r>
              <w:rPr>
                <w:rFonts w:hint="eastAsia" w:ascii="仿宋" w:hAnsi="仿宋" w:eastAsia="仿宋" w:cs="宋体"/>
                <w:kern w:val="0"/>
                <w:sz w:val="24"/>
              </w:rPr>
              <w:t>其中：就业人数</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1856</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2425</w:t>
            </w:r>
          </w:p>
        </w:tc>
      </w:tr>
      <w:tr>
        <w:tblPrEx>
          <w:tblLayout w:type="fixed"/>
          <w:tblCellMar>
            <w:top w:w="0" w:type="dxa"/>
            <w:left w:w="108" w:type="dxa"/>
            <w:bottom w:w="0" w:type="dxa"/>
            <w:right w:w="108" w:type="dxa"/>
          </w:tblCellMar>
        </w:tblPrEx>
        <w:trPr>
          <w:trHeight w:val="480" w:hRule="atLeast"/>
          <w:jc w:val="center"/>
        </w:trPr>
        <w:tc>
          <w:tcPr>
            <w:tcW w:w="87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毕业生就业去向：</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w:t>
            </w: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bookmarkStart w:id="287" w:name="_GoBack" w:colFirst="5" w:colLast="6"/>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ascii="仿宋" w:hAnsi="仿宋" w:eastAsia="仿宋" w:cs="宋体"/>
                <w:kern w:val="0"/>
                <w:sz w:val="24"/>
              </w:rPr>
              <w:t>A类:留在当地就业人数</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lang w:val="en-US" w:eastAsia="zh-CN"/>
              </w:rPr>
              <w:t>835</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lang w:val="en-US" w:eastAsia="zh-CN"/>
              </w:rPr>
              <w:t>1142</w:t>
            </w: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 xml:space="preserve">  B类:到中小微企业等基层服务人数</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lang w:val="en-US" w:eastAsia="zh-CN"/>
              </w:rPr>
              <w:t>1179</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lang w:val="en-US" w:eastAsia="zh-CN"/>
              </w:rPr>
              <w:t>1214</w:t>
            </w: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 xml:space="preserve">  C类:到5</w:t>
            </w:r>
            <w:r>
              <w:rPr>
                <w:rFonts w:ascii="仿宋" w:hAnsi="仿宋" w:eastAsia="仿宋" w:cs="宋体"/>
                <w:kern w:val="0"/>
                <w:sz w:val="24"/>
              </w:rPr>
              <w:t>00强</w:t>
            </w:r>
            <w:r>
              <w:rPr>
                <w:rFonts w:hint="eastAsia" w:ascii="仿宋" w:hAnsi="仿宋" w:eastAsia="仿宋" w:cs="宋体"/>
                <w:kern w:val="0"/>
                <w:sz w:val="24"/>
              </w:rPr>
              <w:t>企业就业人数</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lang w:val="en-US" w:eastAsia="zh-CN"/>
              </w:rPr>
              <w:t>763</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lang w:val="en-US" w:eastAsia="zh-CN"/>
              </w:rPr>
              <w:t>1079</w:t>
            </w:r>
          </w:p>
        </w:tc>
      </w:tr>
      <w:bookmarkEnd w:id="287"/>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w:t>
            </w: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横向技术服务到款额</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万元</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58.8</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157</w:t>
            </w: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3</w:t>
            </w: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纵向科研经费到款额</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万元</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197.2</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75.5</w:t>
            </w: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4</w:t>
            </w: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技术交易到款额</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万元</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5</w:t>
            </w: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非学历培训到款额</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万元</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521.9</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873.27</w:t>
            </w: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6</w:t>
            </w: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公益性培训服务</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人日</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1431</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10373</w:t>
            </w: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385" w:type="dxa"/>
            <w:gridSpan w:val="5"/>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主要办学经费来源（单选）：省级（</w:t>
            </w:r>
            <w:r>
              <w:rPr>
                <w:rFonts w:ascii="Arial" w:hAnsi="Arial" w:eastAsia="仿宋" w:cs="Arial"/>
                <w:kern w:val="0"/>
                <w:sz w:val="24"/>
              </w:rPr>
              <w:t>√</w:t>
            </w:r>
            <w:r>
              <w:rPr>
                <w:rFonts w:hint="eastAsia" w:ascii="仿宋" w:hAnsi="仿宋" w:eastAsia="仿宋" w:cs="宋体"/>
                <w:kern w:val="0"/>
                <w:sz w:val="24"/>
              </w:rPr>
              <w:t>）   地市级（）</w:t>
            </w:r>
          </w:p>
          <w:p>
            <w:pPr>
              <w:widowControl/>
              <w:ind w:firstLine="3120" w:firstLineChars="1300"/>
              <w:jc w:val="left"/>
              <w:rPr>
                <w:rFonts w:ascii="仿宋" w:hAnsi="仿宋" w:eastAsia="仿宋" w:cs="宋体"/>
                <w:kern w:val="0"/>
                <w:sz w:val="24"/>
              </w:rPr>
            </w:pPr>
            <w:r>
              <w:rPr>
                <w:rFonts w:hint="eastAsia" w:ascii="仿宋" w:hAnsi="仿宋" w:eastAsia="仿宋" w:cs="宋体"/>
                <w:kern w:val="0"/>
                <w:sz w:val="24"/>
              </w:rPr>
              <w:t>行业或企业（）   其他（）</w:t>
            </w:r>
          </w:p>
        </w:tc>
      </w:tr>
    </w:tbl>
    <w:p/>
    <w:p>
      <w:pPr>
        <w:pStyle w:val="3"/>
      </w:pPr>
      <w:bookmarkStart w:id="227" w:name="_Toc2983"/>
      <w:bookmarkStart w:id="228" w:name="_Toc4849"/>
      <w:r>
        <w:rPr>
          <w:rFonts w:hint="eastAsia"/>
        </w:rPr>
        <w:t>7.2 服务湖南“1274”行动</w:t>
      </w:r>
      <w:bookmarkEnd w:id="227"/>
      <w:bookmarkEnd w:id="228"/>
    </w:p>
    <w:p>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学院对接湖南省重点产业布局专业群建设。对接12大重点产业中新材料、新一代信息技术产业、生物医药及高性能医疗器械、节能环保、高档数控机床和机器人等产业，动态调整专业，合理组建专业群。2017年，学院加大对服务我省重点产业的对口专业宣传力度，服务以上产业在校生人数净增长1294人，增长率达41.94%（见图7-1）。</w:t>
      </w:r>
    </w:p>
    <w:p>
      <w:pPr>
        <w:spacing w:line="360" w:lineRule="auto"/>
        <w:jc w:val="center"/>
        <w:rPr>
          <w:rFonts w:ascii="宋体" w:hAnsi="宋体"/>
          <w:sz w:val="24"/>
        </w:rPr>
      </w:pPr>
      <w:r>
        <w:drawing>
          <wp:inline distT="0" distB="0" distL="114300" distR="114300">
            <wp:extent cx="5048885" cy="2813685"/>
            <wp:effectExtent l="4445" t="4445" r="13970" b="20320"/>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jc w:val="center"/>
        <w:rPr>
          <w:rFonts w:ascii="宋体" w:hAnsi="宋体"/>
          <w:b/>
          <w:szCs w:val="21"/>
        </w:rPr>
      </w:pPr>
      <w:r>
        <w:rPr>
          <w:rFonts w:hint="eastAsia" w:ascii="宋体" w:hAnsi="宋体"/>
          <w:b/>
          <w:szCs w:val="21"/>
        </w:rPr>
        <w:t>图7-1 学院服务湖南6大重点产业学生规模情况</w:t>
      </w:r>
    </w:p>
    <w:p>
      <w:pPr>
        <w:jc w:val="right"/>
        <w:rPr>
          <w:rFonts w:ascii="宋体" w:hAnsi="宋体" w:eastAsia="宋体" w:cs="宋体"/>
          <w:b/>
        </w:rPr>
      </w:pPr>
      <w:r>
        <w:rPr>
          <w:rFonts w:hint="eastAsia" w:ascii="宋体" w:hAnsi="宋体" w:eastAsia="宋体" w:cs="宋体"/>
          <w:b/>
        </w:rPr>
        <w:t>数据来源：全国高职院校状态数据采集与管理系统</w:t>
      </w:r>
    </w:p>
    <w:p>
      <w:pPr>
        <w:pStyle w:val="3"/>
      </w:pPr>
      <w:bookmarkStart w:id="229" w:name="_Toc16188"/>
      <w:bookmarkStart w:id="230" w:name="_Toc27565"/>
      <w:r>
        <w:rPr>
          <w:rFonts w:hint="eastAsia"/>
        </w:rPr>
        <w:t>7.3 服务“一带一路”战略</w:t>
      </w:r>
      <w:bookmarkEnd w:id="229"/>
      <w:bookmarkEnd w:id="230"/>
    </w:p>
    <w:p>
      <w:pPr>
        <w:spacing w:line="360" w:lineRule="auto"/>
        <w:ind w:firstLine="480" w:firstLineChars="200"/>
        <w:rPr>
          <w:rFonts w:ascii="宋体" w:hAnsi="宋体"/>
          <w:sz w:val="24"/>
        </w:rPr>
      </w:pPr>
      <w:r>
        <w:rPr>
          <w:rFonts w:hint="eastAsia"/>
          <w:sz w:val="24"/>
        </w:rPr>
        <w:t>为进一步深化职业教育国际交流与合作，打造职教合作样板工程，推动专业教育标准、课程、师资“走出去”，服务国家“一带一路”国家战略，学院有计划、有步骤地加强与“一带一路”沿线国家的教育合作，不断提高学院国际化办学水平。</w:t>
      </w:r>
      <w:r>
        <w:rPr>
          <w:rFonts w:hint="eastAsia" w:ascii="宋体" w:hAnsi="宋体"/>
          <w:sz w:val="24"/>
        </w:rPr>
        <w:t>基于学院近年来国家交流考察情况，学院已与马来西亚、泰国等国家多所高校签订合作培养协议，联合培养国际化人才。启动了马来西亚英迪国际大学3+X专升本项目、泰国斯坦佛国际大学X+2+1本硕项目等海外学历提升项目。目前，正在与英迪大学进行了计算机网络技术、软件技术等专业的学分互认工作。</w:t>
      </w:r>
    </w:p>
    <w:p>
      <w:pPr>
        <w:pStyle w:val="4"/>
        <w:spacing w:before="156" w:after="156"/>
        <w:ind w:firstLine="0" w:firstLineChars="0"/>
        <w:rPr>
          <w:color w:val="auto"/>
        </w:rPr>
      </w:pPr>
      <w:bookmarkStart w:id="231" w:name="_Toc17284"/>
      <w:bookmarkStart w:id="232" w:name="_Toc13500"/>
      <w:r>
        <w:rPr>
          <w:rFonts w:hint="eastAsia"/>
          <w:color w:val="auto"/>
        </w:rPr>
        <w:t>【典型案例24】泰国职业教育代表团应邀来我校交流考察</w:t>
      </w:r>
      <w:bookmarkEnd w:id="231"/>
      <w:bookmarkEnd w:id="232"/>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10月22日，泰国教育部职业教育委员会负责人、泰国“一带一路”基金会主席特别助理、泰国十余所职业院校负责人组成的代表团交流考察，共商职业教育国际交流合作大计。双方将进行化工类、制药类、机电类专业教育标准与师资、课程的输出，包括平台课程共建、专业教师派出、泰方教师来华接收培养、专业课程泰国本土化等系列合作。</w:t>
      </w:r>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湖南省教育厅副厅长应若平发表讲话。她希望，活动的成功举办，能成为提升湖南职业院校对外开放质量和水平的新起点，培养适应国内与国际两个市场的国际化高素质技术技能型本土人才，搭建湖南职业院校国际交流合作新的桥梁和平台。</w:t>
      </w:r>
    </w:p>
    <w:p>
      <w:pPr>
        <w:spacing w:line="360" w:lineRule="auto"/>
        <w:ind w:firstLine="420"/>
        <w:rPr>
          <w:sz w:val="24"/>
        </w:rPr>
      </w:pPr>
      <w:r>
        <w:rPr>
          <w:sz w:val="24"/>
        </w:rPr>
        <w:drawing>
          <wp:inline distT="0" distB="0" distL="0" distR="0">
            <wp:extent cx="4762500" cy="3171825"/>
            <wp:effectExtent l="0" t="0" r="0" b="9525"/>
            <wp:docPr id="64" name="图片 64" descr="DSC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SC005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762500" cy="3171825"/>
                    </a:xfrm>
                    <a:prstGeom prst="rect">
                      <a:avLst/>
                    </a:prstGeom>
                    <a:noFill/>
                    <a:ln>
                      <a:noFill/>
                    </a:ln>
                  </pic:spPr>
                </pic:pic>
              </a:graphicData>
            </a:graphic>
          </wp:inline>
        </w:drawing>
      </w:r>
    </w:p>
    <w:p>
      <w:pPr>
        <w:spacing w:line="360" w:lineRule="auto"/>
        <w:jc w:val="center"/>
        <w:rPr>
          <w:rFonts w:ascii="宋体" w:hAnsi="宋体"/>
          <w:b/>
          <w:szCs w:val="21"/>
        </w:rPr>
      </w:pPr>
      <w:r>
        <w:rPr>
          <w:rFonts w:hint="eastAsia" w:ascii="宋体" w:hAnsi="宋体"/>
          <w:b/>
          <w:szCs w:val="21"/>
        </w:rPr>
        <w:t>图7-2学院与泰国职业教育交流考察座谈会现场</w:t>
      </w:r>
    </w:p>
    <w:p>
      <w:pPr>
        <w:spacing w:line="360" w:lineRule="auto"/>
        <w:ind w:firstLine="420"/>
        <w:rPr>
          <w:sz w:val="24"/>
        </w:rPr>
      </w:pPr>
      <w:r>
        <w:rPr>
          <w:sz w:val="24"/>
        </w:rPr>
        <w:drawing>
          <wp:inline distT="0" distB="0" distL="0" distR="0">
            <wp:extent cx="4762500" cy="2676525"/>
            <wp:effectExtent l="0" t="0" r="0" b="9525"/>
            <wp:docPr id="65" name="图片 65" descr="DSC0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SC004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4762500" cy="2676525"/>
                    </a:xfrm>
                    <a:prstGeom prst="rect">
                      <a:avLst/>
                    </a:prstGeom>
                    <a:noFill/>
                    <a:ln>
                      <a:noFill/>
                    </a:ln>
                  </pic:spPr>
                </pic:pic>
              </a:graphicData>
            </a:graphic>
          </wp:inline>
        </w:drawing>
      </w:r>
    </w:p>
    <w:p>
      <w:pPr>
        <w:spacing w:line="360" w:lineRule="auto"/>
        <w:jc w:val="center"/>
        <w:rPr>
          <w:rFonts w:ascii="宋体" w:hAnsi="宋体"/>
          <w:b/>
          <w:szCs w:val="21"/>
        </w:rPr>
      </w:pPr>
      <w:r>
        <w:rPr>
          <w:rFonts w:hint="eastAsia" w:ascii="宋体" w:hAnsi="宋体"/>
          <w:b/>
          <w:szCs w:val="21"/>
        </w:rPr>
        <w:t>图7-3 湖南化工职院与唐风国际教育集团签订战略合作协议</w:t>
      </w:r>
    </w:p>
    <w:p>
      <w:pPr>
        <w:spacing w:line="360" w:lineRule="auto"/>
        <w:ind w:firstLine="420"/>
        <w:rPr>
          <w:sz w:val="24"/>
        </w:rPr>
      </w:pPr>
      <w:r>
        <w:rPr>
          <w:sz w:val="24"/>
        </w:rPr>
        <w:drawing>
          <wp:inline distT="0" distB="0" distL="0" distR="0">
            <wp:extent cx="4762500" cy="2676525"/>
            <wp:effectExtent l="0" t="0" r="0" b="9525"/>
            <wp:docPr id="66" name="图片 66" descr="合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合影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762500" cy="2676525"/>
                    </a:xfrm>
                    <a:prstGeom prst="rect">
                      <a:avLst/>
                    </a:prstGeom>
                    <a:noFill/>
                    <a:ln>
                      <a:noFill/>
                    </a:ln>
                  </pic:spPr>
                </pic:pic>
              </a:graphicData>
            </a:graphic>
          </wp:inline>
        </w:drawing>
      </w:r>
    </w:p>
    <w:p>
      <w:pPr>
        <w:spacing w:line="360" w:lineRule="auto"/>
        <w:jc w:val="center"/>
        <w:rPr>
          <w:rFonts w:ascii="宋体" w:hAnsi="宋体"/>
          <w:b/>
          <w:szCs w:val="21"/>
        </w:rPr>
      </w:pPr>
      <w:r>
        <w:rPr>
          <w:rFonts w:hint="eastAsia" w:ascii="宋体" w:hAnsi="宋体"/>
          <w:b/>
          <w:szCs w:val="21"/>
        </w:rPr>
        <w:t>图7-4 会议结束后，全体参会人员至图书馆前合影留念</w:t>
      </w:r>
    </w:p>
    <w:p>
      <w:pPr>
        <w:pStyle w:val="4"/>
        <w:spacing w:before="156" w:after="156"/>
        <w:ind w:firstLine="0" w:firstLineChars="0"/>
        <w:rPr>
          <w:color w:val="auto"/>
        </w:rPr>
      </w:pPr>
      <w:bookmarkStart w:id="233" w:name="_Toc8387"/>
      <w:r>
        <w:rPr>
          <w:rFonts w:hint="eastAsia"/>
          <w:color w:val="auto"/>
        </w:rPr>
        <w:t>【典型案例25】埃塞俄比亚最大的化工项目来校洽谈员工培训</w:t>
      </w:r>
      <w:bookmarkEnd w:id="233"/>
    </w:p>
    <w:p>
      <w:pPr>
        <w:spacing w:line="360" w:lineRule="auto"/>
        <w:ind w:firstLine="480" w:firstLineChars="200"/>
        <w:rPr>
          <w:rFonts w:ascii="仿宋_GB2312" w:hAnsi="宋体" w:eastAsia="仿宋_GB2312"/>
          <w:color w:val="3366FF"/>
          <w:sz w:val="24"/>
        </w:rPr>
      </w:pPr>
      <w:r>
        <w:rPr>
          <w:rFonts w:hint="eastAsia" w:ascii="仿宋_GB2312" w:hAnsi="宋体" w:eastAsia="仿宋_GB2312"/>
          <w:color w:val="3366FF"/>
          <w:sz w:val="24"/>
        </w:rPr>
        <w:t>8月14日，埃塞俄比亚 EFFORT 集团代表Mr. Hatsey，Mr.Teklehaimanot, Mr.Mehari，中国轻工业长沙工程有限公司埃塞俄比亚6万吨/年EPC总包项目开车经理李小东、PVC项目负责人张成峰等一行来学校考察，并洽谈埃塞俄比亚员工培训事宜。该项目是埃塞首个、也是最大的化工项目，对该国盐化工行业发展具有示范意义，并将显著带动当地就业及上下游产业的发展，为埃塞俄比亚带来经济、社会、环保综合效益。为确保项目顺利推进，公司拟选拔60名埃塞俄比亚骨干技术人员到中国进行为期三个月的理论知识培训、六个月的岗位操作培训，后续还要到埃塞俄比亚为200名以上一线员工进行培训，培训内容涉及化学工艺、自动化仪表、机械、电气及安全生产等。为主动服务“一带一路”国家战略，努力提升学校国际影响力，学校拟承接该项目员工培训。</w:t>
      </w:r>
    </w:p>
    <w:p>
      <w:pPr>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4762500" cy="3571875"/>
            <wp:effectExtent l="0" t="0" r="0" b="9525"/>
            <wp:docPr id="4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IMG_256"/>
                    <pic:cNvPicPr>
                      <a:picLocks noChangeAspect="1"/>
                    </pic:cNvPicPr>
                  </pic:nvPicPr>
                  <pic:blipFill>
                    <a:blip r:embed="rId82"/>
                    <a:stretch>
                      <a:fillRect/>
                    </a:stretch>
                  </pic:blipFill>
                  <pic:spPr>
                    <a:xfrm>
                      <a:off x="0" y="0"/>
                      <a:ext cx="4762500" cy="3571875"/>
                    </a:xfrm>
                    <a:prstGeom prst="rect">
                      <a:avLst/>
                    </a:prstGeom>
                    <a:noFill/>
                    <a:ln w="9525">
                      <a:noFill/>
                    </a:ln>
                  </pic:spPr>
                </pic:pic>
              </a:graphicData>
            </a:graphic>
          </wp:inline>
        </w:drawing>
      </w:r>
    </w:p>
    <w:p>
      <w:pPr>
        <w:spacing w:line="360" w:lineRule="auto"/>
        <w:jc w:val="center"/>
        <w:rPr>
          <w:rFonts w:ascii="宋体" w:hAnsi="宋体"/>
          <w:b/>
          <w:szCs w:val="21"/>
        </w:rPr>
      </w:pPr>
      <w:r>
        <w:rPr>
          <w:rFonts w:hint="eastAsia" w:ascii="宋体" w:hAnsi="宋体"/>
          <w:b/>
          <w:szCs w:val="21"/>
        </w:rPr>
        <w:t>图7-5 化工学院张翔博士向外宾们介绍化工实训基地</w:t>
      </w:r>
    </w:p>
    <w:p>
      <w:pPr>
        <w:pStyle w:val="3"/>
      </w:pPr>
      <w:bookmarkStart w:id="234" w:name="_Toc13616"/>
      <w:bookmarkStart w:id="235" w:name="_Toc12536"/>
      <w:r>
        <w:rPr>
          <w:rFonts w:hint="eastAsia"/>
        </w:rPr>
        <w:t>7.4 服务企业</w:t>
      </w:r>
      <w:bookmarkEnd w:id="234"/>
      <w:bookmarkEnd w:id="235"/>
    </w:p>
    <w:p>
      <w:pPr>
        <w:pStyle w:val="4"/>
        <w:spacing w:before="156" w:after="156"/>
        <w:ind w:firstLine="562"/>
        <w:rPr>
          <w:color w:val="000000" w:themeColor="text1"/>
        </w:rPr>
      </w:pPr>
      <w:bookmarkStart w:id="236" w:name="_Toc634"/>
      <w:bookmarkStart w:id="237" w:name="_Toc29726"/>
      <w:r>
        <w:rPr>
          <w:rFonts w:hint="eastAsia"/>
          <w:color w:val="000000" w:themeColor="text1"/>
        </w:rPr>
        <w:t>（1）服务本行业、本地区的高素质技术技能人才支撑</w:t>
      </w:r>
      <w:bookmarkEnd w:id="236"/>
      <w:bookmarkEnd w:id="237"/>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据《麦可思——湖南化工职业技术学院应届毕业生培养质量评价报告（2017）》调查数据显示：学院2017届就业率为97.86%，其中83.8%的毕业生选择“受雇全职工作”（见图7-2）。就业的毕业生中有46.1%的人在湖南省就业，就业城市主要集中在长沙、株洲（见表7-2）。从就业领域来看，毕业生在“化学品、化工、塑胶业”就业的比例较高（见表7-3），主要从事“生物/化工”（21.7%）相关职业，本校毕业生的就业情况较好地体现了本校的办学特色，为本地化工领域的发展贡献了大量专业技术技能型人才。</w:t>
      </w:r>
    </w:p>
    <w:p>
      <w:pPr>
        <w:pStyle w:val="21"/>
        <w:jc w:val="center"/>
        <w:rPr>
          <w:rFonts w:ascii="Calibri" w:hAnsi="Calibri" w:cs="黑体"/>
          <w:szCs w:val="21"/>
        </w:rPr>
      </w:pPr>
      <w:r>
        <w:rPr>
          <w:rFonts w:ascii="Calibri" w:hAnsi="Calibri" w:cs="黑体"/>
          <w:szCs w:val="21"/>
        </w:rPr>
        <w:drawing>
          <wp:inline distT="0" distB="0" distL="114300" distR="114300">
            <wp:extent cx="5210810" cy="2515235"/>
            <wp:effectExtent l="0" t="0" r="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83"/>
                    <a:stretch>
                      <a:fillRect/>
                    </a:stretch>
                  </pic:blipFill>
                  <pic:spPr>
                    <a:xfrm>
                      <a:off x="0" y="0"/>
                      <a:ext cx="5210810" cy="2515235"/>
                    </a:xfrm>
                    <a:prstGeom prst="rect">
                      <a:avLst/>
                    </a:prstGeom>
                    <a:noFill/>
                    <a:ln w="9525">
                      <a:noFill/>
                    </a:ln>
                  </pic:spPr>
                </pic:pic>
              </a:graphicData>
            </a:graphic>
          </wp:inline>
        </w:drawing>
      </w:r>
    </w:p>
    <w:p>
      <w:pPr>
        <w:pStyle w:val="6"/>
        <w:rPr>
          <w:rFonts w:ascii="宋体" w:hAnsi="宋体" w:eastAsiaTheme="minorEastAsia"/>
          <w:sz w:val="21"/>
          <w:szCs w:val="21"/>
        </w:rPr>
      </w:pPr>
      <w:bookmarkStart w:id="238" w:name="_Toc496176510"/>
      <w:r>
        <w:rPr>
          <w:rFonts w:hint="eastAsia" w:ascii="宋体" w:hAnsi="宋体" w:eastAsiaTheme="minorEastAsia"/>
          <w:sz w:val="21"/>
          <w:szCs w:val="21"/>
        </w:rPr>
        <w:t>图7-2 学院毕业生去向分布</w:t>
      </w:r>
      <w:bookmarkEnd w:id="238"/>
      <w:r>
        <w:rPr>
          <w:rFonts w:hint="eastAsia" w:ascii="宋体" w:hAnsi="宋体" w:eastAsiaTheme="minorEastAsia"/>
          <w:sz w:val="21"/>
          <w:szCs w:val="21"/>
        </w:rPr>
        <w:t>示意图</w:t>
      </w:r>
    </w:p>
    <w:p>
      <w:pPr>
        <w:jc w:val="right"/>
        <w:rPr>
          <w:rFonts w:ascii="宋体" w:hAnsi="宋体"/>
          <w:b/>
          <w:szCs w:val="21"/>
        </w:rPr>
      </w:pPr>
      <w:r>
        <w:rPr>
          <w:rFonts w:hint="eastAsia" w:ascii="宋体" w:hAnsi="宋体"/>
          <w:b/>
          <w:szCs w:val="21"/>
        </w:rPr>
        <w:t>数据来源：麦可思——湖南化工职业技术学院应届毕业生培养质量评价报告（2017）</w:t>
      </w:r>
    </w:p>
    <w:p>
      <w:pPr>
        <w:pStyle w:val="6"/>
        <w:rPr>
          <w:rFonts w:ascii="宋体" w:hAnsi="宋体" w:eastAsiaTheme="minorEastAsia"/>
          <w:sz w:val="21"/>
          <w:szCs w:val="21"/>
        </w:rPr>
      </w:pPr>
      <w:bookmarkStart w:id="239" w:name="_Toc496184895"/>
    </w:p>
    <w:p>
      <w:pPr>
        <w:pStyle w:val="6"/>
        <w:rPr>
          <w:rFonts w:ascii="宋体" w:hAnsi="宋体" w:eastAsiaTheme="minorEastAsia"/>
          <w:sz w:val="21"/>
          <w:szCs w:val="21"/>
        </w:rPr>
      </w:pPr>
      <w:r>
        <w:rPr>
          <w:rFonts w:hint="eastAsia" w:ascii="宋体" w:hAnsi="宋体" w:eastAsiaTheme="minorEastAsia"/>
          <w:sz w:val="21"/>
          <w:szCs w:val="21"/>
        </w:rPr>
        <w:t>表7-2 学院毕业生主要就业城市需求变化趋势</w:t>
      </w:r>
      <w:bookmarkEnd w:id="239"/>
    </w:p>
    <w:tbl>
      <w:tblPr>
        <w:tblStyle w:val="18"/>
        <w:tblW w:w="8289" w:type="dxa"/>
        <w:jc w:val="center"/>
        <w:tblInd w:w="0" w:type="dxa"/>
        <w:tblLayout w:type="fixed"/>
        <w:tblCellMar>
          <w:top w:w="0" w:type="dxa"/>
          <w:left w:w="108" w:type="dxa"/>
          <w:bottom w:w="0" w:type="dxa"/>
          <w:right w:w="108" w:type="dxa"/>
        </w:tblCellMar>
      </w:tblPr>
      <w:tblGrid>
        <w:gridCol w:w="1358"/>
        <w:gridCol w:w="1959"/>
        <w:gridCol w:w="1837"/>
        <w:gridCol w:w="1812"/>
        <w:gridCol w:w="1323"/>
      </w:tblGrid>
      <w:tr>
        <w:tblPrEx>
          <w:tblLayout w:type="fixed"/>
          <w:tblCellMar>
            <w:top w:w="0" w:type="dxa"/>
            <w:left w:w="108" w:type="dxa"/>
            <w:bottom w:w="0" w:type="dxa"/>
            <w:right w:w="108" w:type="dxa"/>
          </w:tblCellMar>
        </w:tblPrEx>
        <w:trPr>
          <w:trHeight w:val="285" w:hRule="atLeast"/>
          <w:tblHeader/>
          <w:jc w:val="center"/>
        </w:trPr>
        <w:tc>
          <w:tcPr>
            <w:tcW w:w="1358" w:type="dxa"/>
            <w:tcBorders>
              <w:top w:val="single" w:color="FFFFFF" w:sz="8" w:space="0"/>
              <w:left w:val="single" w:color="FFFFFF" w:sz="8" w:space="0"/>
              <w:bottom w:val="single" w:color="FFFFFF" w:sz="8" w:space="0"/>
              <w:right w:val="single" w:color="FFFFFF" w:sz="8" w:space="0"/>
            </w:tcBorders>
            <w:shd w:val="clear" w:color="000000" w:fill="8DB3E2"/>
            <w:vAlign w:val="center"/>
          </w:tcPr>
          <w:p>
            <w:pPr>
              <w:widowControl/>
              <w:spacing w:line="320" w:lineRule="exact"/>
              <w:jc w:val="center"/>
              <w:rPr>
                <w:rFonts w:ascii="Calibri" w:hAnsi="Calibri" w:cs="Calibri"/>
                <w:b/>
                <w:bCs/>
                <w:color w:val="000000"/>
                <w:kern w:val="0"/>
                <w:sz w:val="20"/>
                <w:szCs w:val="20"/>
              </w:rPr>
            </w:pPr>
            <w:bookmarkStart w:id="240" w:name="各城市就业比例趋势"/>
            <w:bookmarkEnd w:id="240"/>
            <w:r>
              <w:rPr>
                <w:rFonts w:ascii="Calibri" w:hAnsi="Calibri" w:cs="Calibri"/>
                <w:b/>
                <w:bCs/>
                <w:color w:val="000000"/>
                <w:sz w:val="20"/>
                <w:szCs w:val="20"/>
              </w:rPr>
              <w:t>城市名称</w:t>
            </w:r>
          </w:p>
        </w:tc>
        <w:tc>
          <w:tcPr>
            <w:tcW w:w="1959" w:type="dxa"/>
            <w:tcBorders>
              <w:top w:val="single" w:color="FFFFFF" w:sz="8" w:space="0"/>
              <w:left w:val="nil"/>
              <w:bottom w:val="single" w:color="FFFFFF" w:sz="8" w:space="0"/>
              <w:right w:val="single" w:color="FFFFFF" w:sz="8" w:space="0"/>
            </w:tcBorders>
            <w:shd w:val="clear" w:color="000000" w:fill="8DB3E2"/>
            <w:vAlign w:val="center"/>
          </w:tcPr>
          <w:p>
            <w:pPr>
              <w:spacing w:line="320" w:lineRule="exact"/>
              <w:jc w:val="center"/>
              <w:rPr>
                <w:rFonts w:ascii="Calibri" w:hAnsi="Calibri" w:cs="Calibri"/>
                <w:b/>
                <w:bCs/>
                <w:color w:val="000000"/>
                <w:sz w:val="20"/>
                <w:szCs w:val="20"/>
              </w:rPr>
            </w:pPr>
            <w:r>
              <w:rPr>
                <w:rFonts w:ascii="Calibri" w:hAnsi="Calibri" w:cs="Calibri"/>
                <w:b/>
                <w:bCs/>
                <w:color w:val="000000"/>
                <w:sz w:val="20"/>
                <w:szCs w:val="20"/>
              </w:rPr>
              <w:t>2015届（%）</w:t>
            </w:r>
          </w:p>
        </w:tc>
        <w:tc>
          <w:tcPr>
            <w:tcW w:w="1837" w:type="dxa"/>
            <w:tcBorders>
              <w:top w:val="single" w:color="FFFFFF" w:sz="8" w:space="0"/>
              <w:left w:val="nil"/>
              <w:bottom w:val="single" w:color="FFFFFF" w:sz="8" w:space="0"/>
              <w:right w:val="single" w:color="FFFFFF" w:sz="8" w:space="0"/>
            </w:tcBorders>
            <w:shd w:val="clear" w:color="000000" w:fill="8DB3E2"/>
            <w:vAlign w:val="center"/>
          </w:tcPr>
          <w:p>
            <w:pPr>
              <w:spacing w:line="320" w:lineRule="exact"/>
              <w:jc w:val="center"/>
              <w:rPr>
                <w:rFonts w:ascii="Calibri" w:hAnsi="Calibri" w:cs="Calibri"/>
                <w:b/>
                <w:bCs/>
                <w:color w:val="000000"/>
                <w:sz w:val="20"/>
                <w:szCs w:val="20"/>
              </w:rPr>
            </w:pPr>
            <w:r>
              <w:rPr>
                <w:rFonts w:ascii="Calibri" w:hAnsi="Calibri" w:cs="Calibri"/>
                <w:b/>
                <w:bCs/>
                <w:color w:val="000000"/>
                <w:sz w:val="20"/>
                <w:szCs w:val="20"/>
              </w:rPr>
              <w:t>2016届（%）</w:t>
            </w:r>
          </w:p>
        </w:tc>
        <w:tc>
          <w:tcPr>
            <w:tcW w:w="1812" w:type="dxa"/>
            <w:tcBorders>
              <w:top w:val="single" w:color="FFFFFF" w:sz="8" w:space="0"/>
              <w:left w:val="nil"/>
              <w:bottom w:val="single" w:color="FFFFFF" w:sz="8" w:space="0"/>
              <w:right w:val="single" w:color="FFFFFF" w:sz="8" w:space="0"/>
            </w:tcBorders>
            <w:shd w:val="clear" w:color="000000" w:fill="8DB3E2"/>
            <w:vAlign w:val="center"/>
          </w:tcPr>
          <w:p>
            <w:pPr>
              <w:spacing w:line="320" w:lineRule="exact"/>
              <w:jc w:val="center"/>
              <w:rPr>
                <w:rFonts w:ascii="Calibri" w:hAnsi="Calibri" w:cs="Calibri"/>
                <w:b/>
                <w:bCs/>
                <w:color w:val="000000"/>
                <w:sz w:val="20"/>
                <w:szCs w:val="20"/>
              </w:rPr>
            </w:pPr>
            <w:r>
              <w:rPr>
                <w:rFonts w:ascii="Calibri" w:hAnsi="Calibri" w:cs="Calibri"/>
                <w:b/>
                <w:bCs/>
                <w:color w:val="000000"/>
                <w:sz w:val="20"/>
                <w:szCs w:val="20"/>
              </w:rPr>
              <w:t>2017届（%）</w:t>
            </w:r>
          </w:p>
        </w:tc>
        <w:tc>
          <w:tcPr>
            <w:tcW w:w="1323" w:type="dxa"/>
            <w:tcBorders>
              <w:top w:val="single" w:color="FFFFFF" w:sz="8" w:space="0"/>
              <w:left w:val="nil"/>
              <w:bottom w:val="single" w:color="FFFFFF" w:sz="8" w:space="0"/>
              <w:right w:val="single" w:color="FFFFFF" w:sz="8" w:space="0"/>
            </w:tcBorders>
            <w:shd w:val="clear" w:color="000000" w:fill="8DB3E2"/>
            <w:vAlign w:val="center"/>
          </w:tcPr>
          <w:p>
            <w:pPr>
              <w:spacing w:line="320" w:lineRule="exact"/>
              <w:jc w:val="center"/>
              <w:rPr>
                <w:rFonts w:ascii="Calibri" w:hAnsi="Calibri" w:cs="Calibri"/>
                <w:b/>
                <w:bCs/>
                <w:color w:val="000000"/>
                <w:sz w:val="20"/>
                <w:szCs w:val="20"/>
              </w:rPr>
            </w:pPr>
            <w:r>
              <w:rPr>
                <w:rFonts w:ascii="Calibri" w:hAnsi="Calibri" w:cs="Calibri"/>
                <w:b/>
                <w:bCs/>
                <w:color w:val="000000"/>
                <w:sz w:val="20"/>
                <w:szCs w:val="20"/>
              </w:rPr>
              <w:t>变化趋势</w:t>
            </w:r>
          </w:p>
        </w:tc>
      </w:tr>
      <w:tr>
        <w:tblPrEx>
          <w:tblLayout w:type="fixed"/>
          <w:tblCellMar>
            <w:top w:w="0" w:type="dxa"/>
            <w:left w:w="108" w:type="dxa"/>
            <w:bottom w:w="0" w:type="dxa"/>
            <w:right w:w="108" w:type="dxa"/>
          </w:tblCellMar>
        </w:tblPrEx>
        <w:trPr>
          <w:trHeight w:val="285" w:hRule="atLeast"/>
          <w:jc w:val="center"/>
        </w:trPr>
        <w:tc>
          <w:tcPr>
            <w:tcW w:w="1358" w:type="dxa"/>
            <w:tcBorders>
              <w:top w:val="nil"/>
              <w:left w:val="single" w:color="FFFFFF" w:sz="8" w:space="0"/>
              <w:bottom w:val="single" w:color="FFFFFF" w:sz="8" w:space="0"/>
              <w:right w:val="single" w:color="FFFFFF" w:sz="8" w:space="0"/>
            </w:tcBorders>
            <w:shd w:val="clear" w:color="000000" w:fill="F6F8FC"/>
            <w:vAlign w:val="center"/>
          </w:tcPr>
          <w:p>
            <w:pPr>
              <w:spacing w:line="320" w:lineRule="exact"/>
              <w:jc w:val="left"/>
              <w:rPr>
                <w:rFonts w:ascii="Calibri" w:hAnsi="Calibri" w:cs="Calibri"/>
                <w:color w:val="000000"/>
                <w:sz w:val="20"/>
                <w:szCs w:val="20"/>
              </w:rPr>
            </w:pPr>
            <w:r>
              <w:rPr>
                <w:rFonts w:hint="eastAsia" w:cs="Calibri"/>
                <w:color w:val="000000"/>
                <w:sz w:val="20"/>
                <w:szCs w:val="20"/>
              </w:rPr>
              <w:t>长沙</w:t>
            </w:r>
          </w:p>
        </w:tc>
        <w:tc>
          <w:tcPr>
            <w:tcW w:w="1959"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17.9</w:t>
            </w:r>
          </w:p>
        </w:tc>
        <w:tc>
          <w:tcPr>
            <w:tcW w:w="1837"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23.9</w:t>
            </w:r>
          </w:p>
        </w:tc>
        <w:tc>
          <w:tcPr>
            <w:tcW w:w="1812"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23.9</w:t>
            </w:r>
          </w:p>
        </w:tc>
        <w:tc>
          <w:tcPr>
            <w:tcW w:w="1323"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hint="eastAsia" w:cs="Calibri"/>
                <w:color w:val="008000"/>
                <w:sz w:val="20"/>
                <w:szCs w:val="20"/>
              </w:rPr>
              <w:t>↑</w:t>
            </w:r>
          </w:p>
        </w:tc>
      </w:tr>
      <w:tr>
        <w:tblPrEx>
          <w:tblLayout w:type="fixed"/>
          <w:tblCellMar>
            <w:top w:w="0" w:type="dxa"/>
            <w:left w:w="108" w:type="dxa"/>
            <w:bottom w:w="0" w:type="dxa"/>
            <w:right w:w="108" w:type="dxa"/>
          </w:tblCellMar>
        </w:tblPrEx>
        <w:trPr>
          <w:trHeight w:val="285" w:hRule="atLeast"/>
          <w:jc w:val="center"/>
        </w:trPr>
        <w:tc>
          <w:tcPr>
            <w:tcW w:w="1358" w:type="dxa"/>
            <w:tcBorders>
              <w:top w:val="nil"/>
              <w:left w:val="single" w:color="FFFFFF" w:sz="8" w:space="0"/>
              <w:bottom w:val="single" w:color="FFFFFF" w:sz="8" w:space="0"/>
              <w:right w:val="single" w:color="FFFFFF" w:sz="8" w:space="0"/>
            </w:tcBorders>
            <w:shd w:val="clear" w:color="000000" w:fill="C5D5E9"/>
            <w:vAlign w:val="center"/>
          </w:tcPr>
          <w:p>
            <w:pPr>
              <w:spacing w:line="320" w:lineRule="exact"/>
              <w:jc w:val="left"/>
              <w:rPr>
                <w:rFonts w:ascii="Calibri" w:hAnsi="Calibri" w:cs="Calibri"/>
                <w:color w:val="000000"/>
                <w:sz w:val="20"/>
                <w:szCs w:val="20"/>
              </w:rPr>
            </w:pPr>
            <w:r>
              <w:rPr>
                <w:rFonts w:hint="eastAsia" w:cs="Calibri"/>
                <w:color w:val="000000"/>
                <w:sz w:val="20"/>
                <w:szCs w:val="20"/>
              </w:rPr>
              <w:t>株洲</w:t>
            </w:r>
          </w:p>
        </w:tc>
        <w:tc>
          <w:tcPr>
            <w:tcW w:w="1959" w:type="dxa"/>
            <w:tcBorders>
              <w:top w:val="nil"/>
              <w:left w:val="nil"/>
              <w:bottom w:val="single" w:color="FFFFFF" w:sz="8" w:space="0"/>
              <w:right w:val="single" w:color="FFFFFF" w:sz="8" w:space="0"/>
            </w:tcBorders>
            <w:shd w:val="clear" w:color="000000" w:fill="C5D5E9"/>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6.8</w:t>
            </w:r>
          </w:p>
        </w:tc>
        <w:tc>
          <w:tcPr>
            <w:tcW w:w="1837" w:type="dxa"/>
            <w:tcBorders>
              <w:top w:val="nil"/>
              <w:left w:val="nil"/>
              <w:bottom w:val="single" w:color="FFFFFF" w:sz="8" w:space="0"/>
              <w:right w:val="single" w:color="FFFFFF" w:sz="8" w:space="0"/>
            </w:tcBorders>
            <w:shd w:val="clear" w:color="000000" w:fill="C5D5E9"/>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9.4</w:t>
            </w:r>
          </w:p>
        </w:tc>
        <w:tc>
          <w:tcPr>
            <w:tcW w:w="1812" w:type="dxa"/>
            <w:tcBorders>
              <w:top w:val="nil"/>
              <w:left w:val="nil"/>
              <w:bottom w:val="single" w:color="FFFFFF" w:sz="8" w:space="0"/>
              <w:right w:val="single" w:color="FFFFFF" w:sz="8" w:space="0"/>
            </w:tcBorders>
            <w:shd w:val="clear" w:color="000000" w:fill="C5D5E9"/>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10.1</w:t>
            </w:r>
          </w:p>
        </w:tc>
        <w:tc>
          <w:tcPr>
            <w:tcW w:w="1323" w:type="dxa"/>
            <w:tcBorders>
              <w:top w:val="nil"/>
              <w:left w:val="nil"/>
              <w:bottom w:val="single" w:color="FFFFFF" w:sz="8" w:space="0"/>
              <w:right w:val="single" w:color="FFFFFF" w:sz="8" w:space="0"/>
            </w:tcBorders>
            <w:shd w:val="clear" w:color="000000" w:fill="C5D5E9"/>
            <w:vAlign w:val="center"/>
          </w:tcPr>
          <w:p>
            <w:pPr>
              <w:spacing w:line="320" w:lineRule="exact"/>
              <w:jc w:val="center"/>
              <w:rPr>
                <w:rFonts w:ascii="Calibri" w:hAnsi="Calibri" w:cs="Calibri"/>
                <w:color w:val="008000"/>
                <w:sz w:val="20"/>
                <w:szCs w:val="20"/>
              </w:rPr>
            </w:pPr>
            <w:r>
              <w:rPr>
                <w:rFonts w:hint="eastAsia" w:cs="Calibri"/>
                <w:color w:val="008000"/>
                <w:sz w:val="20"/>
                <w:szCs w:val="20"/>
              </w:rPr>
              <w:t>↑</w:t>
            </w:r>
          </w:p>
        </w:tc>
      </w:tr>
      <w:tr>
        <w:tblPrEx>
          <w:tblLayout w:type="fixed"/>
          <w:tblCellMar>
            <w:top w:w="0" w:type="dxa"/>
            <w:left w:w="108" w:type="dxa"/>
            <w:bottom w:w="0" w:type="dxa"/>
            <w:right w:w="108" w:type="dxa"/>
          </w:tblCellMar>
        </w:tblPrEx>
        <w:trPr>
          <w:trHeight w:val="285" w:hRule="atLeast"/>
          <w:jc w:val="center"/>
        </w:trPr>
        <w:tc>
          <w:tcPr>
            <w:tcW w:w="1358" w:type="dxa"/>
            <w:tcBorders>
              <w:top w:val="nil"/>
              <w:left w:val="single" w:color="FFFFFF" w:sz="8" w:space="0"/>
              <w:bottom w:val="single" w:color="FFFFFF" w:sz="8" w:space="0"/>
              <w:right w:val="single" w:color="FFFFFF" w:sz="8" w:space="0"/>
            </w:tcBorders>
            <w:shd w:val="clear" w:color="000000" w:fill="F6F8FC"/>
            <w:vAlign w:val="center"/>
          </w:tcPr>
          <w:p>
            <w:pPr>
              <w:spacing w:line="320" w:lineRule="exact"/>
              <w:jc w:val="left"/>
              <w:rPr>
                <w:rFonts w:ascii="Calibri" w:hAnsi="Calibri" w:cs="Calibri"/>
                <w:color w:val="000000"/>
                <w:sz w:val="20"/>
                <w:szCs w:val="20"/>
              </w:rPr>
            </w:pPr>
            <w:r>
              <w:rPr>
                <w:rFonts w:hint="eastAsia" w:cs="Calibri"/>
                <w:color w:val="000000"/>
                <w:sz w:val="20"/>
                <w:szCs w:val="20"/>
              </w:rPr>
              <w:t>深圳</w:t>
            </w:r>
          </w:p>
        </w:tc>
        <w:tc>
          <w:tcPr>
            <w:tcW w:w="1959"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9.0</w:t>
            </w:r>
          </w:p>
        </w:tc>
        <w:tc>
          <w:tcPr>
            <w:tcW w:w="1837"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8.8</w:t>
            </w:r>
          </w:p>
        </w:tc>
        <w:tc>
          <w:tcPr>
            <w:tcW w:w="1812"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8.0</w:t>
            </w:r>
          </w:p>
        </w:tc>
        <w:tc>
          <w:tcPr>
            <w:tcW w:w="1323"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FF0000"/>
                <w:sz w:val="20"/>
                <w:szCs w:val="20"/>
              </w:rPr>
            </w:pPr>
            <w:r>
              <w:rPr>
                <w:rFonts w:ascii="Calibri" w:hAnsi="Calibri" w:cs="Calibri"/>
                <w:color w:val="000000"/>
                <w:sz w:val="20"/>
                <w:szCs w:val="20"/>
              </w:rPr>
              <w:t>—</w:t>
            </w:r>
          </w:p>
        </w:tc>
      </w:tr>
      <w:tr>
        <w:tblPrEx>
          <w:tblLayout w:type="fixed"/>
          <w:tblCellMar>
            <w:top w:w="0" w:type="dxa"/>
            <w:left w:w="108" w:type="dxa"/>
            <w:bottom w:w="0" w:type="dxa"/>
            <w:right w:w="108" w:type="dxa"/>
          </w:tblCellMar>
        </w:tblPrEx>
        <w:trPr>
          <w:trHeight w:val="285" w:hRule="atLeast"/>
          <w:jc w:val="center"/>
        </w:trPr>
        <w:tc>
          <w:tcPr>
            <w:tcW w:w="1358" w:type="dxa"/>
            <w:tcBorders>
              <w:top w:val="nil"/>
              <w:left w:val="single" w:color="FFFFFF" w:sz="8" w:space="0"/>
              <w:bottom w:val="single" w:color="FFFFFF" w:sz="8" w:space="0"/>
              <w:right w:val="single" w:color="FFFFFF" w:sz="8" w:space="0"/>
            </w:tcBorders>
            <w:shd w:val="clear" w:color="000000" w:fill="C5D5E9"/>
            <w:vAlign w:val="center"/>
          </w:tcPr>
          <w:p>
            <w:pPr>
              <w:spacing w:line="320" w:lineRule="exact"/>
              <w:jc w:val="left"/>
              <w:rPr>
                <w:rFonts w:ascii="Calibri" w:hAnsi="Calibri" w:cs="Calibri"/>
                <w:color w:val="000000"/>
                <w:sz w:val="20"/>
                <w:szCs w:val="20"/>
              </w:rPr>
            </w:pPr>
            <w:r>
              <w:rPr>
                <w:rFonts w:hint="eastAsia" w:cs="Calibri"/>
                <w:color w:val="000000"/>
                <w:sz w:val="20"/>
                <w:szCs w:val="20"/>
              </w:rPr>
              <w:t>广州</w:t>
            </w:r>
          </w:p>
        </w:tc>
        <w:tc>
          <w:tcPr>
            <w:tcW w:w="1959" w:type="dxa"/>
            <w:tcBorders>
              <w:top w:val="nil"/>
              <w:left w:val="nil"/>
              <w:bottom w:val="single" w:color="FFFFFF" w:sz="8" w:space="0"/>
              <w:right w:val="single" w:color="FFFFFF" w:sz="8" w:space="0"/>
            </w:tcBorders>
            <w:shd w:val="clear" w:color="000000" w:fill="C5D5E9"/>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5.7</w:t>
            </w:r>
          </w:p>
        </w:tc>
        <w:tc>
          <w:tcPr>
            <w:tcW w:w="1837" w:type="dxa"/>
            <w:tcBorders>
              <w:top w:val="nil"/>
              <w:left w:val="nil"/>
              <w:bottom w:val="single" w:color="FFFFFF" w:sz="8" w:space="0"/>
              <w:right w:val="single" w:color="FFFFFF" w:sz="8" w:space="0"/>
            </w:tcBorders>
            <w:shd w:val="clear" w:color="000000" w:fill="C5D5E9"/>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4.6</w:t>
            </w:r>
          </w:p>
        </w:tc>
        <w:tc>
          <w:tcPr>
            <w:tcW w:w="1812" w:type="dxa"/>
            <w:tcBorders>
              <w:top w:val="nil"/>
              <w:left w:val="nil"/>
              <w:bottom w:val="single" w:color="FFFFFF" w:sz="8" w:space="0"/>
              <w:right w:val="single" w:color="FFFFFF" w:sz="8" w:space="0"/>
            </w:tcBorders>
            <w:shd w:val="clear" w:color="000000" w:fill="C5D5E9"/>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5.1</w:t>
            </w:r>
          </w:p>
        </w:tc>
        <w:tc>
          <w:tcPr>
            <w:tcW w:w="1323" w:type="dxa"/>
            <w:tcBorders>
              <w:top w:val="nil"/>
              <w:left w:val="nil"/>
              <w:bottom w:val="single" w:color="FFFFFF" w:sz="8" w:space="0"/>
              <w:right w:val="single" w:color="FFFFFF" w:sz="8" w:space="0"/>
            </w:tcBorders>
            <w:shd w:val="clear" w:color="000000" w:fill="C5D5E9"/>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w:t>
            </w:r>
          </w:p>
        </w:tc>
      </w:tr>
      <w:tr>
        <w:tblPrEx>
          <w:tblLayout w:type="fixed"/>
          <w:tblCellMar>
            <w:top w:w="0" w:type="dxa"/>
            <w:left w:w="108" w:type="dxa"/>
            <w:bottom w:w="0" w:type="dxa"/>
            <w:right w:w="108" w:type="dxa"/>
          </w:tblCellMar>
        </w:tblPrEx>
        <w:trPr>
          <w:trHeight w:val="285" w:hRule="atLeast"/>
          <w:jc w:val="center"/>
        </w:trPr>
        <w:tc>
          <w:tcPr>
            <w:tcW w:w="1358" w:type="dxa"/>
            <w:tcBorders>
              <w:top w:val="nil"/>
              <w:left w:val="single" w:color="FFFFFF" w:sz="8" w:space="0"/>
              <w:bottom w:val="single" w:color="FFFFFF" w:sz="8" w:space="0"/>
              <w:right w:val="single" w:color="FFFFFF" w:sz="8" w:space="0"/>
            </w:tcBorders>
            <w:shd w:val="clear" w:color="000000" w:fill="F6F8FC"/>
            <w:vAlign w:val="center"/>
          </w:tcPr>
          <w:p>
            <w:pPr>
              <w:spacing w:line="320" w:lineRule="exact"/>
              <w:jc w:val="left"/>
              <w:rPr>
                <w:rFonts w:ascii="Calibri" w:hAnsi="Calibri" w:cs="Calibri"/>
                <w:color w:val="000000"/>
                <w:sz w:val="20"/>
                <w:szCs w:val="20"/>
              </w:rPr>
            </w:pPr>
            <w:r>
              <w:rPr>
                <w:rFonts w:hint="eastAsia" w:cs="Calibri"/>
                <w:color w:val="000000"/>
                <w:sz w:val="20"/>
                <w:szCs w:val="20"/>
              </w:rPr>
              <w:t>东莞</w:t>
            </w:r>
          </w:p>
        </w:tc>
        <w:tc>
          <w:tcPr>
            <w:tcW w:w="1959"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2.9</w:t>
            </w:r>
          </w:p>
        </w:tc>
        <w:tc>
          <w:tcPr>
            <w:tcW w:w="1837"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4.6</w:t>
            </w:r>
          </w:p>
        </w:tc>
        <w:tc>
          <w:tcPr>
            <w:tcW w:w="1812"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ascii="Calibri" w:hAnsi="Calibri" w:cs="Calibri"/>
                <w:color w:val="000000"/>
                <w:sz w:val="20"/>
                <w:szCs w:val="20"/>
              </w:rPr>
              <w:t>4.5</w:t>
            </w:r>
          </w:p>
        </w:tc>
        <w:tc>
          <w:tcPr>
            <w:tcW w:w="1323" w:type="dxa"/>
            <w:tcBorders>
              <w:top w:val="nil"/>
              <w:left w:val="nil"/>
              <w:bottom w:val="single" w:color="FFFFFF" w:sz="8" w:space="0"/>
              <w:right w:val="single" w:color="FFFFFF" w:sz="8" w:space="0"/>
            </w:tcBorders>
            <w:shd w:val="clear" w:color="000000" w:fill="F6F8FC"/>
            <w:vAlign w:val="center"/>
          </w:tcPr>
          <w:p>
            <w:pPr>
              <w:spacing w:line="320" w:lineRule="exact"/>
              <w:jc w:val="center"/>
              <w:rPr>
                <w:rFonts w:ascii="Calibri" w:hAnsi="Calibri" w:cs="Calibri"/>
                <w:color w:val="000000"/>
                <w:sz w:val="20"/>
                <w:szCs w:val="20"/>
              </w:rPr>
            </w:pPr>
            <w:r>
              <w:rPr>
                <w:rFonts w:hint="eastAsia" w:cs="Calibri"/>
                <w:color w:val="008000"/>
                <w:sz w:val="20"/>
                <w:szCs w:val="20"/>
              </w:rPr>
              <w:t>↑</w:t>
            </w:r>
          </w:p>
        </w:tc>
      </w:tr>
    </w:tbl>
    <w:p>
      <w:pPr>
        <w:jc w:val="right"/>
        <w:rPr>
          <w:rFonts w:ascii="宋体" w:hAnsi="宋体"/>
          <w:b/>
          <w:szCs w:val="21"/>
        </w:rPr>
      </w:pPr>
      <w:r>
        <w:rPr>
          <w:rFonts w:hint="eastAsia" w:ascii="宋体" w:hAnsi="宋体"/>
          <w:b/>
          <w:szCs w:val="21"/>
        </w:rPr>
        <w:t>数据来源：麦可思——湖南化工职业技术学院应届毕业生培养质量评价报告（2017）</w:t>
      </w:r>
    </w:p>
    <w:p>
      <w:pPr>
        <w:pStyle w:val="6"/>
        <w:rPr>
          <w:rFonts w:ascii="宋体" w:hAnsi="宋体" w:eastAsiaTheme="minorEastAsia"/>
          <w:sz w:val="21"/>
          <w:szCs w:val="21"/>
        </w:rPr>
      </w:pPr>
      <w:bookmarkStart w:id="241" w:name="_Toc496176533"/>
    </w:p>
    <w:p>
      <w:pPr>
        <w:pStyle w:val="6"/>
        <w:rPr>
          <w:rFonts w:ascii="宋体" w:hAnsi="宋体" w:eastAsiaTheme="minorEastAsia"/>
          <w:sz w:val="21"/>
          <w:szCs w:val="21"/>
        </w:rPr>
      </w:pPr>
      <w:r>
        <w:rPr>
          <w:rFonts w:hint="eastAsia" w:ascii="宋体" w:hAnsi="宋体" w:eastAsiaTheme="minorEastAsia"/>
          <w:sz w:val="21"/>
          <w:szCs w:val="21"/>
        </w:rPr>
        <w:t>表7-3 学院毕业生主要行业类需求变化趋势</w:t>
      </w:r>
      <w:bookmarkEnd w:id="241"/>
      <w:bookmarkStart w:id="242" w:name="行业类变化趋势"/>
      <w:bookmarkEnd w:id="242"/>
    </w:p>
    <w:tbl>
      <w:tblPr>
        <w:tblStyle w:val="18"/>
        <w:tblW w:w="8680" w:type="dxa"/>
        <w:jc w:val="center"/>
        <w:tblInd w:w="0"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108" w:type="dxa"/>
          <w:bottom w:w="0" w:type="dxa"/>
          <w:right w:w="108" w:type="dxa"/>
        </w:tblCellMar>
      </w:tblPr>
      <w:tblGrid>
        <w:gridCol w:w="3075"/>
        <w:gridCol w:w="1584"/>
        <w:gridCol w:w="1485"/>
        <w:gridCol w:w="1466"/>
        <w:gridCol w:w="1070"/>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108" w:type="dxa"/>
            <w:bottom w:w="0" w:type="dxa"/>
            <w:right w:w="108" w:type="dxa"/>
          </w:tblCellMar>
        </w:tblPrEx>
        <w:trPr>
          <w:trHeight w:val="285" w:hRule="atLeast"/>
          <w:tblHeader/>
          <w:jc w:val="center"/>
        </w:trPr>
        <w:tc>
          <w:tcPr>
            <w:tcW w:w="3075" w:type="dxa"/>
            <w:tcBorders>
              <w:top w:val="single" w:color="FFFFFF" w:sz="6" w:space="0"/>
              <w:left w:val="single" w:color="FFFFFF" w:sz="6" w:space="0"/>
              <w:bottom w:val="single" w:color="FFFFFF" w:sz="6" w:space="0"/>
              <w:right w:val="single" w:color="FFFFFF" w:sz="6" w:space="0"/>
            </w:tcBorders>
            <w:shd w:val="clear" w:color="auto" w:fill="8DB3E2"/>
            <w:vAlign w:val="center"/>
          </w:tcPr>
          <w:p>
            <w:pPr>
              <w:widowControl/>
              <w:spacing w:line="320" w:lineRule="exact"/>
              <w:jc w:val="center"/>
              <w:rPr>
                <w:rFonts w:ascii="Calibri" w:hAnsi="Calibri" w:cs="宋体"/>
                <w:b/>
                <w:bCs/>
                <w:color w:val="000000"/>
                <w:kern w:val="0"/>
                <w:sz w:val="20"/>
                <w:szCs w:val="20"/>
              </w:rPr>
            </w:pPr>
            <w:r>
              <w:rPr>
                <w:rFonts w:ascii="Calibri" w:hAnsi="Calibri" w:cs="宋体"/>
                <w:b/>
                <w:bCs/>
                <w:color w:val="000000"/>
                <w:kern w:val="0"/>
                <w:sz w:val="20"/>
                <w:szCs w:val="20"/>
              </w:rPr>
              <w:t>行业类名称</w:t>
            </w:r>
          </w:p>
        </w:tc>
        <w:tc>
          <w:tcPr>
            <w:tcW w:w="1584" w:type="dxa"/>
            <w:tcBorders>
              <w:top w:val="single" w:color="FFFFFF" w:sz="6" w:space="0"/>
              <w:left w:val="single" w:color="FFFFFF" w:sz="6" w:space="0"/>
              <w:bottom w:val="single" w:color="FFFFFF" w:sz="6" w:space="0"/>
              <w:right w:val="single" w:color="FFFFFF" w:sz="6" w:space="0"/>
            </w:tcBorders>
            <w:shd w:val="clear" w:color="auto" w:fill="8DB3E2"/>
            <w:vAlign w:val="center"/>
          </w:tcPr>
          <w:p>
            <w:pPr>
              <w:widowControl/>
              <w:spacing w:line="320" w:lineRule="exact"/>
              <w:jc w:val="center"/>
              <w:rPr>
                <w:rFonts w:ascii="Calibri" w:hAnsi="Calibri" w:cs="宋体"/>
                <w:b/>
                <w:bCs/>
                <w:color w:val="000000"/>
                <w:kern w:val="0"/>
                <w:sz w:val="20"/>
                <w:szCs w:val="20"/>
              </w:rPr>
            </w:pPr>
            <w:r>
              <w:rPr>
                <w:rFonts w:ascii="Calibri" w:hAnsi="Calibri" w:cs="宋体"/>
                <w:b/>
                <w:bCs/>
                <w:color w:val="000000"/>
                <w:kern w:val="0"/>
                <w:sz w:val="20"/>
                <w:szCs w:val="20"/>
              </w:rPr>
              <w:t>2015届（%）</w:t>
            </w:r>
          </w:p>
        </w:tc>
        <w:tc>
          <w:tcPr>
            <w:tcW w:w="1485" w:type="dxa"/>
            <w:tcBorders>
              <w:top w:val="single" w:color="FFFFFF" w:sz="6" w:space="0"/>
              <w:left w:val="single" w:color="FFFFFF" w:sz="6" w:space="0"/>
              <w:bottom w:val="single" w:color="FFFFFF" w:sz="6" w:space="0"/>
              <w:right w:val="single" w:color="FFFFFF" w:sz="6" w:space="0"/>
            </w:tcBorders>
            <w:shd w:val="clear" w:color="auto" w:fill="8DB3E2"/>
            <w:vAlign w:val="center"/>
          </w:tcPr>
          <w:p>
            <w:pPr>
              <w:widowControl/>
              <w:spacing w:line="320" w:lineRule="exact"/>
              <w:jc w:val="center"/>
              <w:rPr>
                <w:rFonts w:ascii="Calibri" w:hAnsi="Calibri" w:cs="宋体"/>
                <w:b/>
                <w:bCs/>
                <w:color w:val="000000"/>
                <w:kern w:val="0"/>
                <w:sz w:val="20"/>
                <w:szCs w:val="20"/>
              </w:rPr>
            </w:pPr>
            <w:r>
              <w:rPr>
                <w:rFonts w:ascii="Calibri" w:hAnsi="Calibri" w:cs="宋体"/>
                <w:b/>
                <w:bCs/>
                <w:color w:val="000000"/>
                <w:kern w:val="0"/>
                <w:sz w:val="20"/>
                <w:szCs w:val="20"/>
              </w:rPr>
              <w:t>2016届（%）</w:t>
            </w:r>
          </w:p>
        </w:tc>
        <w:tc>
          <w:tcPr>
            <w:tcW w:w="1466" w:type="dxa"/>
            <w:tcBorders>
              <w:top w:val="single" w:color="FFFFFF" w:sz="6" w:space="0"/>
              <w:left w:val="single" w:color="FFFFFF" w:sz="6" w:space="0"/>
              <w:bottom w:val="single" w:color="FFFFFF" w:sz="6" w:space="0"/>
              <w:right w:val="single" w:color="FFFFFF" w:sz="6" w:space="0"/>
            </w:tcBorders>
            <w:shd w:val="clear" w:color="auto" w:fill="8DB3E2"/>
            <w:vAlign w:val="center"/>
          </w:tcPr>
          <w:p>
            <w:pPr>
              <w:widowControl/>
              <w:spacing w:line="320" w:lineRule="exact"/>
              <w:jc w:val="center"/>
              <w:rPr>
                <w:rFonts w:ascii="Calibri" w:hAnsi="Calibri" w:cs="宋体"/>
                <w:b/>
                <w:bCs/>
                <w:color w:val="000000"/>
                <w:kern w:val="0"/>
                <w:sz w:val="20"/>
                <w:szCs w:val="20"/>
              </w:rPr>
            </w:pPr>
            <w:r>
              <w:rPr>
                <w:rFonts w:ascii="Calibri" w:hAnsi="Calibri" w:cs="宋体"/>
                <w:b/>
                <w:bCs/>
                <w:color w:val="000000"/>
                <w:kern w:val="0"/>
                <w:sz w:val="20"/>
                <w:szCs w:val="20"/>
              </w:rPr>
              <w:t>2017届（%）</w:t>
            </w:r>
          </w:p>
        </w:tc>
        <w:tc>
          <w:tcPr>
            <w:tcW w:w="1070" w:type="dxa"/>
            <w:tcBorders>
              <w:top w:val="single" w:color="FFFFFF" w:sz="6" w:space="0"/>
              <w:left w:val="single" w:color="FFFFFF" w:sz="6" w:space="0"/>
              <w:bottom w:val="single" w:color="FFFFFF" w:sz="6" w:space="0"/>
              <w:right w:val="single" w:color="FFFFFF" w:sz="6" w:space="0"/>
            </w:tcBorders>
            <w:shd w:val="clear" w:color="auto" w:fill="8DB3E2"/>
            <w:vAlign w:val="center"/>
          </w:tcPr>
          <w:p>
            <w:pPr>
              <w:widowControl/>
              <w:spacing w:line="320" w:lineRule="exact"/>
              <w:jc w:val="center"/>
              <w:rPr>
                <w:rFonts w:ascii="Calibri" w:hAnsi="Calibri" w:cs="宋体"/>
                <w:b/>
                <w:bCs/>
                <w:color w:val="000000"/>
                <w:kern w:val="0"/>
                <w:sz w:val="20"/>
                <w:szCs w:val="20"/>
              </w:rPr>
            </w:pPr>
            <w:r>
              <w:rPr>
                <w:rFonts w:ascii="Calibri" w:hAnsi="Calibri" w:cs="宋体"/>
                <w:b/>
                <w:bCs/>
                <w:color w:val="000000"/>
                <w:kern w:val="0"/>
                <w:sz w:val="20"/>
                <w:szCs w:val="20"/>
              </w:rPr>
              <w:t>变化趋势</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108" w:type="dxa"/>
            <w:bottom w:w="0" w:type="dxa"/>
            <w:right w:w="108" w:type="dxa"/>
          </w:tblCellMar>
        </w:tblPrEx>
        <w:trPr>
          <w:trHeight w:val="285" w:hRule="atLeast"/>
          <w:jc w:val="center"/>
        </w:trPr>
        <w:tc>
          <w:tcPr>
            <w:tcW w:w="3075" w:type="dxa"/>
            <w:shd w:val="clear" w:color="auto" w:fill="F6F8FC"/>
            <w:vAlign w:val="center"/>
          </w:tcPr>
          <w:p>
            <w:pPr>
              <w:widowControl/>
              <w:spacing w:line="320" w:lineRule="exact"/>
              <w:rPr>
                <w:rFonts w:ascii="Calibri" w:hAnsi="Calibri" w:cs="宋体"/>
                <w:color w:val="000000"/>
                <w:kern w:val="0"/>
                <w:sz w:val="20"/>
                <w:szCs w:val="20"/>
              </w:rPr>
            </w:pPr>
            <w:r>
              <w:rPr>
                <w:rFonts w:hint="eastAsia" w:ascii="Calibri" w:hAnsi="Calibri" w:cs="宋体"/>
                <w:color w:val="000000"/>
                <w:kern w:val="0"/>
                <w:sz w:val="20"/>
                <w:szCs w:val="20"/>
              </w:rPr>
              <w:t>化学品、化工、塑胶业</w:t>
            </w:r>
          </w:p>
        </w:tc>
        <w:tc>
          <w:tcPr>
            <w:tcW w:w="1584" w:type="dxa"/>
            <w:shd w:val="clear" w:color="auto" w:fill="F6F8FC"/>
            <w:vAlign w:val="center"/>
          </w:tcPr>
          <w:p>
            <w:pPr>
              <w:widowControl/>
              <w:spacing w:line="320" w:lineRule="exact"/>
              <w:jc w:val="center"/>
              <w:rPr>
                <w:rFonts w:ascii="Calibri" w:hAnsi="Calibri" w:cs="宋体"/>
                <w:color w:val="000000"/>
                <w:kern w:val="0"/>
                <w:sz w:val="20"/>
                <w:szCs w:val="20"/>
              </w:rPr>
            </w:pPr>
            <w:r>
              <w:rPr>
                <w:rFonts w:hint="eastAsia" w:ascii="Calibri" w:hAnsi="Calibri" w:cs="宋体"/>
                <w:color w:val="000000"/>
                <w:kern w:val="0"/>
                <w:sz w:val="20"/>
                <w:szCs w:val="20"/>
              </w:rPr>
              <w:t>29</w:t>
            </w:r>
            <w:r>
              <w:rPr>
                <w:rFonts w:ascii="Calibri" w:hAnsi="Calibri" w:cs="宋体"/>
                <w:color w:val="000000"/>
                <w:kern w:val="0"/>
                <w:sz w:val="20"/>
                <w:szCs w:val="20"/>
              </w:rPr>
              <w:t>.6</w:t>
            </w:r>
          </w:p>
        </w:tc>
        <w:tc>
          <w:tcPr>
            <w:tcW w:w="1485" w:type="dxa"/>
            <w:shd w:val="clear" w:color="auto" w:fill="F6F8FC"/>
            <w:vAlign w:val="center"/>
          </w:tcPr>
          <w:p>
            <w:pPr>
              <w:widowControl/>
              <w:spacing w:line="320" w:lineRule="exact"/>
              <w:jc w:val="center"/>
              <w:rPr>
                <w:rFonts w:ascii="Calibri" w:hAnsi="Calibri" w:cs="宋体"/>
                <w:color w:val="000000"/>
                <w:kern w:val="0"/>
                <w:sz w:val="20"/>
                <w:szCs w:val="20"/>
              </w:rPr>
            </w:pPr>
            <w:r>
              <w:rPr>
                <w:rFonts w:hint="eastAsia" w:ascii="Calibri" w:hAnsi="Calibri" w:cs="宋体"/>
                <w:color w:val="000000"/>
                <w:kern w:val="0"/>
                <w:sz w:val="20"/>
                <w:szCs w:val="20"/>
              </w:rPr>
              <w:t>30</w:t>
            </w:r>
            <w:r>
              <w:rPr>
                <w:rFonts w:ascii="Calibri" w:hAnsi="Calibri" w:cs="宋体"/>
                <w:color w:val="000000"/>
                <w:kern w:val="0"/>
                <w:sz w:val="20"/>
                <w:szCs w:val="20"/>
              </w:rPr>
              <w:t>.9</w:t>
            </w:r>
          </w:p>
        </w:tc>
        <w:tc>
          <w:tcPr>
            <w:tcW w:w="1466" w:type="dxa"/>
            <w:shd w:val="clear" w:color="auto" w:fill="F6F8FC"/>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3</w:t>
            </w:r>
            <w:r>
              <w:rPr>
                <w:rFonts w:hint="eastAsia" w:ascii="Calibri" w:hAnsi="Calibri" w:cs="宋体"/>
                <w:color w:val="000000"/>
                <w:kern w:val="0"/>
                <w:sz w:val="20"/>
                <w:szCs w:val="20"/>
              </w:rPr>
              <w:t>0</w:t>
            </w:r>
            <w:r>
              <w:rPr>
                <w:rFonts w:ascii="Calibri" w:hAnsi="Calibri" w:cs="宋体"/>
                <w:color w:val="000000"/>
                <w:kern w:val="0"/>
                <w:sz w:val="20"/>
                <w:szCs w:val="20"/>
              </w:rPr>
              <w:t>.8</w:t>
            </w:r>
          </w:p>
        </w:tc>
        <w:tc>
          <w:tcPr>
            <w:tcW w:w="1070" w:type="dxa"/>
            <w:shd w:val="clear" w:color="auto" w:fill="F6F8FC"/>
            <w:vAlign w:val="center"/>
          </w:tcPr>
          <w:p>
            <w:pPr>
              <w:widowControl/>
              <w:spacing w:line="320" w:lineRule="exact"/>
              <w:jc w:val="center"/>
              <w:rPr>
                <w:rFonts w:ascii="Calibri" w:hAnsi="Calibri" w:cs="宋体"/>
                <w:color w:val="FF0000"/>
                <w:kern w:val="0"/>
                <w:sz w:val="20"/>
                <w:szCs w:val="20"/>
              </w:rPr>
            </w:pPr>
            <w:r>
              <w:rPr>
                <w:rFonts w:ascii="Calibri" w:hAnsi="Calibri" w:cs="宋体"/>
                <w:color w:val="000000"/>
                <w:kern w:val="0"/>
                <w:sz w:val="20"/>
                <w:szCs w:val="20"/>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108" w:type="dxa"/>
            <w:bottom w:w="0" w:type="dxa"/>
            <w:right w:w="108" w:type="dxa"/>
          </w:tblCellMar>
        </w:tblPrEx>
        <w:trPr>
          <w:trHeight w:val="285" w:hRule="atLeast"/>
          <w:jc w:val="center"/>
        </w:trPr>
        <w:tc>
          <w:tcPr>
            <w:tcW w:w="3075"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rPr>
                <w:rFonts w:ascii="Calibri" w:hAnsi="Calibri" w:cs="宋体"/>
                <w:color w:val="000000"/>
                <w:kern w:val="0"/>
                <w:sz w:val="20"/>
                <w:szCs w:val="20"/>
              </w:rPr>
            </w:pPr>
            <w:r>
              <w:rPr>
                <w:rFonts w:hint="eastAsia" w:ascii="Calibri" w:hAnsi="Calibri" w:cs="宋体"/>
                <w:color w:val="000000"/>
                <w:kern w:val="0"/>
                <w:sz w:val="20"/>
                <w:szCs w:val="20"/>
              </w:rPr>
              <w:t>电子电气仪器设备及电脑制造业</w:t>
            </w:r>
          </w:p>
        </w:tc>
        <w:tc>
          <w:tcPr>
            <w:tcW w:w="1584"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7.7</w:t>
            </w:r>
          </w:p>
        </w:tc>
        <w:tc>
          <w:tcPr>
            <w:tcW w:w="1485"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10.9</w:t>
            </w:r>
          </w:p>
        </w:tc>
        <w:tc>
          <w:tcPr>
            <w:tcW w:w="1466"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7.0</w:t>
            </w:r>
          </w:p>
        </w:tc>
        <w:tc>
          <w:tcPr>
            <w:tcW w:w="1070"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108" w:type="dxa"/>
            <w:bottom w:w="0" w:type="dxa"/>
            <w:right w:w="108" w:type="dxa"/>
          </w:tblCellMar>
        </w:tblPrEx>
        <w:trPr>
          <w:trHeight w:val="285" w:hRule="atLeast"/>
          <w:jc w:val="center"/>
        </w:trPr>
        <w:tc>
          <w:tcPr>
            <w:tcW w:w="3075" w:type="dxa"/>
            <w:shd w:val="clear" w:color="auto" w:fill="F6F8FC"/>
            <w:vAlign w:val="center"/>
          </w:tcPr>
          <w:p>
            <w:pPr>
              <w:widowControl/>
              <w:spacing w:line="320" w:lineRule="exact"/>
              <w:rPr>
                <w:rFonts w:ascii="Calibri" w:hAnsi="Calibri" w:cs="宋体"/>
                <w:color w:val="000000"/>
                <w:kern w:val="0"/>
                <w:sz w:val="20"/>
                <w:szCs w:val="20"/>
              </w:rPr>
            </w:pPr>
            <w:r>
              <w:rPr>
                <w:rFonts w:hint="eastAsia" w:ascii="Calibri" w:hAnsi="Calibri" w:cs="宋体"/>
                <w:color w:val="000000"/>
                <w:kern w:val="0"/>
                <w:sz w:val="20"/>
                <w:szCs w:val="20"/>
              </w:rPr>
              <w:t>建筑业</w:t>
            </w:r>
          </w:p>
        </w:tc>
        <w:tc>
          <w:tcPr>
            <w:tcW w:w="1584" w:type="dxa"/>
            <w:shd w:val="clear" w:color="auto" w:fill="F6F8FC"/>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3.4</w:t>
            </w:r>
          </w:p>
        </w:tc>
        <w:tc>
          <w:tcPr>
            <w:tcW w:w="1485" w:type="dxa"/>
            <w:shd w:val="clear" w:color="auto" w:fill="F6F8FC"/>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3.0</w:t>
            </w:r>
          </w:p>
        </w:tc>
        <w:tc>
          <w:tcPr>
            <w:tcW w:w="1466" w:type="dxa"/>
            <w:shd w:val="clear" w:color="auto" w:fill="F6F8FC"/>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6.2</w:t>
            </w:r>
          </w:p>
        </w:tc>
        <w:tc>
          <w:tcPr>
            <w:tcW w:w="1070" w:type="dxa"/>
            <w:shd w:val="clear" w:color="auto" w:fill="F6F8FC"/>
            <w:vAlign w:val="center"/>
          </w:tcPr>
          <w:p>
            <w:pPr>
              <w:widowControl/>
              <w:spacing w:line="320" w:lineRule="exact"/>
              <w:jc w:val="center"/>
              <w:rPr>
                <w:rFonts w:ascii="Calibri" w:hAnsi="Calibri" w:cs="宋体"/>
                <w:color w:val="00B050"/>
                <w:kern w:val="0"/>
                <w:sz w:val="20"/>
                <w:szCs w:val="20"/>
              </w:rPr>
            </w:pPr>
            <w:r>
              <w:rPr>
                <w:rFonts w:hint="eastAsia" w:ascii="Calibri" w:hAnsi="Calibri" w:cs="宋体"/>
                <w:color w:val="00B050"/>
                <w:kern w:val="0"/>
                <w:sz w:val="20"/>
                <w:szCs w:val="20"/>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108" w:type="dxa"/>
            <w:bottom w:w="0" w:type="dxa"/>
            <w:right w:w="108" w:type="dxa"/>
          </w:tblCellMar>
        </w:tblPrEx>
        <w:trPr>
          <w:trHeight w:val="285" w:hRule="atLeast"/>
          <w:jc w:val="center"/>
        </w:trPr>
        <w:tc>
          <w:tcPr>
            <w:tcW w:w="3075"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rPr>
                <w:rFonts w:ascii="Calibri" w:hAnsi="Calibri" w:cs="宋体"/>
                <w:color w:val="000000"/>
                <w:kern w:val="0"/>
                <w:sz w:val="20"/>
                <w:szCs w:val="20"/>
              </w:rPr>
            </w:pPr>
            <w:r>
              <w:rPr>
                <w:rFonts w:hint="eastAsia" w:ascii="Calibri" w:hAnsi="Calibri" w:cs="宋体"/>
                <w:color w:val="000000"/>
                <w:kern w:val="0"/>
                <w:sz w:val="20"/>
                <w:szCs w:val="20"/>
              </w:rPr>
              <w:t>机械五金制造业</w:t>
            </w:r>
          </w:p>
        </w:tc>
        <w:tc>
          <w:tcPr>
            <w:tcW w:w="1584"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5.0</w:t>
            </w:r>
          </w:p>
        </w:tc>
        <w:tc>
          <w:tcPr>
            <w:tcW w:w="1485"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6.5</w:t>
            </w:r>
          </w:p>
        </w:tc>
        <w:tc>
          <w:tcPr>
            <w:tcW w:w="1466"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4.9</w:t>
            </w:r>
          </w:p>
        </w:tc>
        <w:tc>
          <w:tcPr>
            <w:tcW w:w="1070"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108" w:type="dxa"/>
            <w:bottom w:w="0" w:type="dxa"/>
            <w:right w:w="108" w:type="dxa"/>
          </w:tblCellMar>
        </w:tblPrEx>
        <w:trPr>
          <w:trHeight w:val="285" w:hRule="atLeast"/>
          <w:jc w:val="center"/>
        </w:trPr>
        <w:tc>
          <w:tcPr>
            <w:tcW w:w="3075" w:type="dxa"/>
            <w:shd w:val="clear" w:color="auto" w:fill="F6F8FC"/>
            <w:vAlign w:val="center"/>
          </w:tcPr>
          <w:p>
            <w:pPr>
              <w:widowControl/>
              <w:spacing w:line="320" w:lineRule="exact"/>
              <w:rPr>
                <w:rFonts w:ascii="Calibri" w:hAnsi="Calibri" w:cs="宋体"/>
                <w:color w:val="000000"/>
                <w:kern w:val="0"/>
                <w:sz w:val="20"/>
                <w:szCs w:val="20"/>
              </w:rPr>
            </w:pPr>
            <w:r>
              <w:rPr>
                <w:rFonts w:hint="eastAsia" w:ascii="Calibri" w:hAnsi="Calibri" w:cs="宋体"/>
                <w:color w:val="000000"/>
                <w:kern w:val="0"/>
                <w:sz w:val="20"/>
                <w:szCs w:val="20"/>
              </w:rPr>
              <w:t>金融（银行</w:t>
            </w:r>
            <w:r>
              <w:rPr>
                <w:rFonts w:ascii="Calibri" w:hAnsi="Calibri" w:cs="宋体"/>
                <w:color w:val="000000"/>
                <w:kern w:val="0"/>
                <w:sz w:val="20"/>
                <w:szCs w:val="20"/>
              </w:rPr>
              <w:t>/</w:t>
            </w:r>
            <w:r>
              <w:rPr>
                <w:rFonts w:hint="eastAsia" w:ascii="Calibri" w:hAnsi="Calibri" w:cs="宋体"/>
                <w:color w:val="000000"/>
                <w:kern w:val="0"/>
                <w:sz w:val="20"/>
                <w:szCs w:val="20"/>
              </w:rPr>
              <w:t>保险</w:t>
            </w:r>
            <w:r>
              <w:rPr>
                <w:rFonts w:ascii="Calibri" w:hAnsi="Calibri" w:cs="宋体"/>
                <w:color w:val="000000"/>
                <w:kern w:val="0"/>
                <w:sz w:val="20"/>
                <w:szCs w:val="20"/>
              </w:rPr>
              <w:t>/</w:t>
            </w:r>
            <w:r>
              <w:rPr>
                <w:rFonts w:hint="eastAsia" w:ascii="Calibri" w:hAnsi="Calibri" w:cs="宋体"/>
                <w:color w:val="000000"/>
                <w:kern w:val="0"/>
                <w:sz w:val="20"/>
                <w:szCs w:val="20"/>
              </w:rPr>
              <w:t>证券）业</w:t>
            </w:r>
          </w:p>
        </w:tc>
        <w:tc>
          <w:tcPr>
            <w:tcW w:w="1584" w:type="dxa"/>
            <w:shd w:val="clear" w:color="auto" w:fill="F6F8FC"/>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5.0</w:t>
            </w:r>
          </w:p>
        </w:tc>
        <w:tc>
          <w:tcPr>
            <w:tcW w:w="1485" w:type="dxa"/>
            <w:shd w:val="clear" w:color="auto" w:fill="F6F8FC"/>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8.0</w:t>
            </w:r>
          </w:p>
        </w:tc>
        <w:tc>
          <w:tcPr>
            <w:tcW w:w="1466" w:type="dxa"/>
            <w:shd w:val="clear" w:color="auto" w:fill="F6F8FC"/>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4.9</w:t>
            </w:r>
          </w:p>
        </w:tc>
        <w:tc>
          <w:tcPr>
            <w:tcW w:w="1070" w:type="dxa"/>
            <w:shd w:val="clear" w:color="auto" w:fill="F6F8FC"/>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108" w:type="dxa"/>
            <w:bottom w:w="0" w:type="dxa"/>
            <w:right w:w="108" w:type="dxa"/>
          </w:tblCellMar>
        </w:tblPrEx>
        <w:trPr>
          <w:trHeight w:val="285" w:hRule="atLeast"/>
          <w:jc w:val="center"/>
        </w:trPr>
        <w:tc>
          <w:tcPr>
            <w:tcW w:w="3075"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rPr>
                <w:rFonts w:ascii="Calibri" w:hAnsi="Calibri" w:cs="宋体"/>
                <w:color w:val="000000"/>
                <w:kern w:val="0"/>
                <w:sz w:val="20"/>
                <w:szCs w:val="20"/>
              </w:rPr>
            </w:pPr>
            <w:r>
              <w:rPr>
                <w:rFonts w:hint="eastAsia" w:ascii="Calibri" w:hAnsi="Calibri" w:cs="宋体"/>
                <w:color w:val="000000"/>
                <w:kern w:val="0"/>
                <w:sz w:val="20"/>
                <w:szCs w:val="20"/>
              </w:rPr>
              <w:t>零售商业</w:t>
            </w:r>
          </w:p>
        </w:tc>
        <w:tc>
          <w:tcPr>
            <w:tcW w:w="1584"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5.0</w:t>
            </w:r>
          </w:p>
        </w:tc>
        <w:tc>
          <w:tcPr>
            <w:tcW w:w="1485"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6.7</w:t>
            </w:r>
          </w:p>
        </w:tc>
        <w:tc>
          <w:tcPr>
            <w:tcW w:w="1466"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4.8</w:t>
            </w:r>
          </w:p>
        </w:tc>
        <w:tc>
          <w:tcPr>
            <w:tcW w:w="1070" w:type="dxa"/>
            <w:tcBorders>
              <w:top w:val="single" w:color="FFFFFF" w:sz="6" w:space="0"/>
              <w:left w:val="single" w:color="FFFFFF" w:sz="6" w:space="0"/>
              <w:bottom w:val="single" w:color="FFFFFF" w:sz="6" w:space="0"/>
              <w:right w:val="single" w:color="FFFFFF" w:sz="6" w:space="0"/>
            </w:tcBorders>
            <w:shd w:val="clear" w:color="auto" w:fill="C5D5E9"/>
            <w:vAlign w:val="center"/>
          </w:tcPr>
          <w:p>
            <w:pPr>
              <w:widowControl/>
              <w:spacing w:line="320" w:lineRule="exact"/>
              <w:jc w:val="center"/>
              <w:rPr>
                <w:rFonts w:ascii="Calibri" w:hAnsi="Calibri" w:cs="宋体"/>
                <w:color w:val="000000"/>
                <w:kern w:val="0"/>
                <w:sz w:val="20"/>
                <w:szCs w:val="20"/>
              </w:rPr>
            </w:pPr>
            <w:r>
              <w:rPr>
                <w:rFonts w:ascii="Calibri" w:hAnsi="Calibri" w:cs="宋体"/>
                <w:color w:val="000000"/>
                <w:kern w:val="0"/>
                <w:sz w:val="20"/>
                <w:szCs w:val="20"/>
              </w:rPr>
              <w:t>—</w:t>
            </w:r>
          </w:p>
        </w:tc>
      </w:tr>
    </w:tbl>
    <w:p>
      <w:pPr>
        <w:spacing w:line="360" w:lineRule="auto"/>
        <w:jc w:val="right"/>
        <w:rPr>
          <w:rFonts w:ascii="宋体" w:hAnsi="宋体"/>
          <w:b/>
          <w:szCs w:val="21"/>
        </w:rPr>
      </w:pPr>
      <w:r>
        <w:rPr>
          <w:rFonts w:hint="eastAsia" w:ascii="宋体" w:hAnsi="宋体"/>
          <w:b/>
          <w:szCs w:val="21"/>
        </w:rPr>
        <w:t>数据来源：麦可思——湖南化工职业技术学院应届毕业生培养质量评价报告（2017）</w:t>
      </w:r>
    </w:p>
    <w:p>
      <w:pPr>
        <w:pStyle w:val="4"/>
        <w:spacing w:before="156" w:after="156"/>
        <w:ind w:firstLine="562"/>
        <w:rPr>
          <w:color w:val="000000" w:themeColor="text1"/>
        </w:rPr>
      </w:pPr>
      <w:bookmarkStart w:id="243" w:name="_Toc469489694"/>
      <w:bookmarkStart w:id="244" w:name="_Toc5632"/>
      <w:bookmarkStart w:id="245" w:name="_Toc161"/>
      <w:r>
        <w:rPr>
          <w:rFonts w:hint="eastAsia"/>
          <w:color w:val="000000" w:themeColor="text1"/>
        </w:rPr>
        <w:t>（2）助力企业发展的应用技术研发与服务</w:t>
      </w:r>
      <w:bookmarkEnd w:id="243"/>
      <w:bookmarkEnd w:id="244"/>
      <w:bookmarkEnd w:id="245"/>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学院</w:t>
      </w:r>
      <w:r>
        <w:rPr>
          <w:rFonts w:hint="eastAsia" w:ascii="宋体" w:hAnsi="宋体"/>
          <w:sz w:val="24"/>
          <w:szCs w:val="28"/>
        </w:rPr>
        <w:t>服务于地方经济发展，</w:t>
      </w:r>
      <w:r>
        <w:rPr>
          <w:rFonts w:hint="eastAsia" w:asciiTheme="minorEastAsia" w:hAnsiTheme="minorEastAsia" w:cstheme="minorEastAsia"/>
          <w:sz w:val="24"/>
        </w:rPr>
        <w:t>制定了应用技术研发与服务团队管理办法，落实学院《教师社会服务成果考核与奖励办法》，为教师搭建开展应用技术研发与服务的平台，创设良好的软硬件环境。建设了12应用技术研发与服务团队，</w:t>
      </w:r>
      <w:r>
        <w:rPr>
          <w:rFonts w:hint="eastAsia" w:ascii="宋体" w:hAnsi="宋体"/>
          <w:sz w:val="24"/>
          <w:szCs w:val="28"/>
        </w:rPr>
        <w:t>近五年来申请专利48项，授权专利22项，其中发明专利6项。</w:t>
      </w:r>
      <w:r>
        <w:rPr>
          <w:rFonts w:hint="eastAsia" w:asciiTheme="minorEastAsia" w:hAnsiTheme="minorEastAsia" w:cstheme="minorEastAsia"/>
          <w:sz w:val="24"/>
        </w:rPr>
        <w:t>近三年，</w:t>
      </w:r>
      <w:r>
        <w:rPr>
          <w:rFonts w:hint="eastAsia" w:ascii="宋体" w:hAnsi="宋体"/>
          <w:sz w:val="24"/>
          <w:szCs w:val="28"/>
        </w:rPr>
        <w:t>为中国中车株洲电力机车有限公司、株洲旗滨集团、湘潭九华国家级经开区等100家企事业单位</w:t>
      </w:r>
      <w:r>
        <w:rPr>
          <w:rFonts w:hint="eastAsia" w:asciiTheme="minorEastAsia" w:hAnsiTheme="minorEastAsia" w:cstheme="minorEastAsia"/>
          <w:sz w:val="24"/>
        </w:rPr>
        <w:t>提供技术改造、工艺革新、产品孵化等</w:t>
      </w:r>
      <w:r>
        <w:rPr>
          <w:rFonts w:hint="eastAsia" w:ascii="宋体" w:hAnsi="宋体"/>
          <w:sz w:val="24"/>
          <w:szCs w:val="28"/>
        </w:rPr>
        <w:t>技术服务100余项，技术服务经费600余万元。</w:t>
      </w:r>
      <w:r>
        <w:rPr>
          <w:rFonts w:hint="eastAsia" w:asciiTheme="minorEastAsia" w:hAnsiTheme="minorEastAsia" w:cstheme="minorEastAsia"/>
          <w:sz w:val="24"/>
        </w:rPr>
        <w:t>助推中小企业技术升级。提升了学院教师服务中小微企业发展的能力。</w:t>
      </w:r>
    </w:p>
    <w:p>
      <w:pPr>
        <w:pStyle w:val="3"/>
      </w:pPr>
      <w:bookmarkStart w:id="246" w:name="_Toc1379"/>
      <w:bookmarkStart w:id="247" w:name="_Toc29500"/>
      <w:r>
        <w:rPr>
          <w:rFonts w:hint="eastAsia"/>
        </w:rPr>
        <w:t>7.5 精准扶贫</w:t>
      </w:r>
      <w:bookmarkEnd w:id="246"/>
      <w:bookmarkEnd w:id="247"/>
    </w:p>
    <w:p>
      <w:pPr>
        <w:pStyle w:val="13"/>
        <w:widowControl/>
        <w:shd w:val="clear" w:color="auto" w:fill="FFFFFF"/>
        <w:adjustRightInd w:val="0"/>
        <w:snapToGrid w:val="0"/>
        <w:spacing w:beforeAutospacing="0" w:afterAutospacing="0" w:line="360" w:lineRule="auto"/>
        <w:ind w:firstLine="420"/>
        <w:jc w:val="both"/>
        <w:rPr>
          <w:rFonts w:asciiTheme="minorEastAsia" w:hAnsiTheme="minorEastAsia" w:cstheme="minorEastAsia"/>
          <w:kern w:val="2"/>
        </w:rPr>
      </w:pPr>
      <w:r>
        <w:rPr>
          <w:rFonts w:hint="eastAsia" w:asciiTheme="minorEastAsia" w:hAnsiTheme="minorEastAsia" w:cstheme="minorEastAsia"/>
          <w:kern w:val="2"/>
        </w:rPr>
        <w:t>“脱贫攻坚是一场读秒的决战，精准扶贫，要输血更要造血。”学院党委精确解读扶贫之“因”、扶贫之“思”、扶贫之“力”，将精准扶贫与专项工作相结合、与党建活动相结合，用实际行动贯彻落实党的十九大精神，为全面决胜小康社会做出化院人的贡献。</w:t>
      </w:r>
    </w:p>
    <w:p>
      <w:pPr>
        <w:pStyle w:val="4"/>
        <w:spacing w:before="156" w:after="156"/>
        <w:ind w:firstLine="562"/>
        <w:rPr>
          <w:color w:val="000000" w:themeColor="text1"/>
        </w:rPr>
      </w:pPr>
      <w:bookmarkStart w:id="248" w:name="_Toc17486"/>
      <w:bookmarkStart w:id="249" w:name="_Toc9640"/>
      <w:r>
        <w:rPr>
          <w:rFonts w:hint="eastAsia"/>
          <w:color w:val="000000" w:themeColor="text1"/>
        </w:rPr>
        <w:t>（1）实施基础扶贫，打造“造血式”大环境</w:t>
      </w:r>
      <w:bookmarkEnd w:id="248"/>
      <w:bookmarkEnd w:id="249"/>
    </w:p>
    <w:p>
      <w:pPr>
        <w:pStyle w:val="13"/>
        <w:widowControl/>
        <w:shd w:val="clear" w:color="auto" w:fill="FFFFFF"/>
        <w:adjustRightInd w:val="0"/>
        <w:snapToGrid w:val="0"/>
        <w:spacing w:beforeAutospacing="0" w:afterAutospacing="0" w:line="360" w:lineRule="auto"/>
        <w:ind w:firstLine="420"/>
        <w:jc w:val="both"/>
        <w:rPr>
          <w:rFonts w:asciiTheme="minorEastAsia" w:hAnsiTheme="minorEastAsia" w:cstheme="minorEastAsia"/>
          <w:kern w:val="2"/>
        </w:rPr>
      </w:pPr>
      <w:r>
        <w:rPr>
          <w:rFonts w:hint="eastAsia" w:asciiTheme="minorEastAsia" w:hAnsiTheme="minorEastAsia" w:cstheme="minorEastAsia"/>
          <w:kern w:val="2"/>
        </w:rPr>
        <w:t>是教育厅的定点扶贫村，其中，学校有三个对口扶贫户，自2014年实施精准扶贫以来，学校高度重视扶贫工作，学院党委刘望书记、王雄伟校长和班子成员及相关部门负责人先后多次到坪溪村现场调研，与贫困户一起共商脱贫攻坚大计。三年来，为贫困户新建了水泥路、安全护栏、修缮了住房等，在学校和教育厅驻村组的共同努力下现已彻底摆脱了贫困，进一步改善了生活状况。</w:t>
      </w:r>
    </w:p>
    <w:p>
      <w:pPr>
        <w:pStyle w:val="4"/>
        <w:spacing w:before="156" w:after="156"/>
        <w:ind w:firstLine="562"/>
        <w:rPr>
          <w:color w:val="000000" w:themeColor="text1"/>
        </w:rPr>
      </w:pPr>
      <w:bookmarkStart w:id="250" w:name="_Toc28908"/>
      <w:bookmarkStart w:id="251" w:name="_Toc17977"/>
      <w:r>
        <w:rPr>
          <w:rFonts w:hint="eastAsia"/>
          <w:color w:val="000000" w:themeColor="text1"/>
        </w:rPr>
        <w:t>（2）实施产业扶贫，培育增收内生动力</w:t>
      </w:r>
      <w:bookmarkEnd w:id="250"/>
      <w:bookmarkEnd w:id="251"/>
    </w:p>
    <w:p>
      <w:pPr>
        <w:pStyle w:val="13"/>
        <w:widowControl/>
        <w:shd w:val="clear" w:color="auto" w:fill="FFFFFF"/>
        <w:adjustRightInd w:val="0"/>
        <w:snapToGrid w:val="0"/>
        <w:spacing w:beforeAutospacing="0" w:afterAutospacing="0" w:line="360" w:lineRule="auto"/>
        <w:ind w:firstLine="420"/>
        <w:jc w:val="both"/>
        <w:rPr>
          <w:rFonts w:asciiTheme="minorEastAsia" w:hAnsiTheme="minorEastAsia" w:cstheme="minorEastAsia"/>
          <w:kern w:val="2"/>
        </w:rPr>
      </w:pPr>
      <w:r>
        <w:rPr>
          <w:rFonts w:hint="eastAsia" w:asciiTheme="minorEastAsia" w:hAnsiTheme="minorEastAsia" w:cstheme="minorEastAsia"/>
          <w:kern w:val="2"/>
        </w:rPr>
        <w:t>授人以鱼，不如授人以渔。学校在倾力帮助每一户进行生活环境改善的同时，想尽办法帮助扶贫对象拓展收入渠道、稳定经济来源，全面提升生活水平。在怀化市溆浦县坪溪村，鼓励资助鱼塘改造，因地制宜推广种植果树、茶树等经济作物，实现长期受益。通过对</w:t>
      </w:r>
      <w:r>
        <w:rPr>
          <w:rFonts w:hint="eastAsia" w:ascii="宋体" w:hAnsi="宋体" w:eastAsia="宋体" w:cs="宋体"/>
          <w:color w:val="454545"/>
          <w:shd w:val="clear" w:color="auto" w:fill="FFFFFF"/>
        </w:rPr>
        <w:t>郴州市宜章县</w:t>
      </w:r>
      <w:r>
        <w:rPr>
          <w:rFonts w:hint="eastAsia" w:asciiTheme="minorEastAsia" w:hAnsiTheme="minorEastAsia" w:cstheme="minorEastAsia"/>
          <w:kern w:val="2"/>
        </w:rPr>
        <w:t>赤石乡的实地考察，结合当地有机大米的种植情况，实施了电商扶贫帮助计划，从种植生产规模、销售渠道、市场细分、包装设计等全程给予指导帮扶，打开了赤石乡有机大米在市面火爆销售喜人局面。</w:t>
      </w:r>
    </w:p>
    <w:p>
      <w:pPr>
        <w:pStyle w:val="4"/>
        <w:spacing w:before="156" w:after="156"/>
        <w:ind w:firstLine="562"/>
        <w:rPr>
          <w:color w:val="000000" w:themeColor="text1"/>
        </w:rPr>
      </w:pPr>
      <w:bookmarkStart w:id="252" w:name="_Toc9179"/>
      <w:bookmarkStart w:id="253" w:name="_Toc4804"/>
      <w:r>
        <w:rPr>
          <w:rFonts w:hint="eastAsia"/>
          <w:color w:val="000000" w:themeColor="text1"/>
        </w:rPr>
        <w:t>（3）实施教育扶贫，提升就业创业能力</w:t>
      </w:r>
      <w:bookmarkEnd w:id="252"/>
      <w:bookmarkEnd w:id="253"/>
    </w:p>
    <w:p>
      <w:pPr>
        <w:pStyle w:val="13"/>
        <w:widowControl/>
        <w:shd w:val="clear" w:color="auto" w:fill="FFFFFF"/>
        <w:spacing w:beforeAutospacing="0" w:after="210" w:afterAutospacing="0" w:line="450" w:lineRule="atLeast"/>
        <w:ind w:firstLine="420"/>
        <w:jc w:val="both"/>
        <w:rPr>
          <w:rFonts w:asciiTheme="minorEastAsia" w:hAnsiTheme="minorEastAsia" w:cstheme="minorEastAsia"/>
          <w:kern w:val="2"/>
        </w:rPr>
      </w:pPr>
      <w:r>
        <w:rPr>
          <w:rFonts w:hint="eastAsia" w:asciiTheme="minorEastAsia" w:hAnsiTheme="minorEastAsia" w:cstheme="minorEastAsia"/>
          <w:kern w:val="2"/>
        </w:rPr>
        <w:t>扶贫先扶智,治贫先治愚。一方面，组织贫困家庭劳动力参与“雨露计划”、“新型农民职业培训”等培训工程，力争每个贫困家庭劳动力都能掌握一项就业创业技能。另一方面，成立帮扶基金，加大对校内贫困学生的帮扶力度。郑重承诺:不能落下一个真正贫困的学生。对“建档立卡家庭经济困难学生”“农村低保家庭学生”“孤残学生”“农村特困救助供养”“家庭遭遇自然灾害”“突发事件”七类重点资助对象进行摸底和反复核对,实施精准帮扶。</w:t>
      </w:r>
    </w:p>
    <w:p>
      <w:pPr>
        <w:pStyle w:val="4"/>
        <w:spacing w:before="156" w:after="156"/>
        <w:ind w:firstLine="0" w:firstLineChars="0"/>
        <w:rPr>
          <w:color w:val="auto"/>
        </w:rPr>
      </w:pPr>
      <w:bookmarkStart w:id="254" w:name="_Toc24875"/>
      <w:bookmarkStart w:id="255" w:name="_Toc16906"/>
      <w:r>
        <w:rPr>
          <w:rFonts w:hint="eastAsia"/>
          <w:color w:val="auto"/>
        </w:rPr>
        <w:t>【典型案例26】郑重的承诺：不能落下一个真正贫困的学生</w:t>
      </w:r>
      <w:bookmarkEnd w:id="254"/>
      <w:bookmarkEnd w:id="255"/>
    </w:p>
    <w:p>
      <w:pPr>
        <w:pStyle w:val="13"/>
        <w:shd w:val="clear" w:color="auto" w:fill="FFFFFF"/>
        <w:adjustRightInd w:val="0"/>
        <w:snapToGrid w:val="0"/>
        <w:spacing w:beforeAutospacing="0" w:afterAutospacing="0" w:line="360" w:lineRule="auto"/>
        <w:ind w:firstLine="490"/>
        <w:rPr>
          <w:rFonts w:ascii="仿宋_GB2312" w:hAnsi="宋体" w:eastAsia="仿宋_GB2312" w:cstheme="minorBidi"/>
          <w:color w:val="3366FF"/>
          <w:kern w:val="2"/>
        </w:rPr>
      </w:pPr>
      <w:r>
        <w:rPr>
          <w:rFonts w:hint="eastAsia" w:ascii="仿宋_GB2312" w:hAnsi="宋体" w:eastAsia="仿宋_GB2312" w:cstheme="minorBidi"/>
          <w:color w:val="3366FF"/>
          <w:kern w:val="2"/>
        </w:rPr>
        <w:t>针对家庭及及困难学生，学院制定了一系列的相关措施，对七类重点资助对象进行摸底和反复核对，实施精准帮扶。学院化工1415班的一名同学，小时候在家时因意外事故导致面部被烧伤，父母都是普通工人，家庭情况比较困难，但她仍坚持完成高中学业，以优异的成绩考入湖南化工职院。她在校期间表现优秀，学习成绩优异，获得学院特批的对品学兼优的同学给予的困难补助，学院党委书记刘望将补助金3000元交予到她手上，叮嘱她好好学习，克服困难，完成好学业以回馈社会。不仅仅是补助金的支持，学院领导的关怀一直伴随她毕业并找到了一份自己满意的工作。</w:t>
      </w:r>
    </w:p>
    <w:p>
      <w:pPr>
        <w:adjustRightInd w:val="0"/>
        <w:snapToGrid w:val="0"/>
        <w:spacing w:line="360" w:lineRule="auto"/>
        <w:rPr>
          <w:rFonts w:asciiTheme="minorEastAsia" w:hAnsiTheme="minorEastAsia" w:cstheme="minorEastAsia"/>
          <w:b/>
          <w:bCs/>
          <w:sz w:val="28"/>
          <w:szCs w:val="28"/>
        </w:rPr>
      </w:pPr>
      <w:r>
        <w:rPr>
          <w:rFonts w:hint="eastAsia" w:asciiTheme="minorEastAsia" w:hAnsiTheme="minorEastAsia" w:cstheme="minorEastAsia"/>
          <w:b/>
          <w:bCs/>
          <w:sz w:val="28"/>
          <w:szCs w:val="28"/>
        </w:rPr>
        <w:br w:type="page"/>
      </w:r>
    </w:p>
    <w:p>
      <w:pPr>
        <w:pStyle w:val="2"/>
        <w:rPr>
          <w:rFonts w:hint="default"/>
        </w:rPr>
      </w:pPr>
      <w:bookmarkStart w:id="256" w:name="_Toc8950"/>
      <w:r>
        <w:t>8 问题与挑战</w:t>
      </w:r>
      <w:bookmarkEnd w:id="256"/>
    </w:p>
    <w:p>
      <w:pPr>
        <w:pStyle w:val="3"/>
      </w:pPr>
      <w:bookmarkStart w:id="257" w:name="_Toc27771"/>
      <w:bookmarkStart w:id="258" w:name="_Toc6420"/>
      <w:r>
        <w:rPr>
          <w:rFonts w:hint="eastAsia"/>
        </w:rPr>
        <w:t>8.1 学院发展面临的主要问题</w:t>
      </w:r>
      <w:bookmarkEnd w:id="257"/>
      <w:bookmarkEnd w:id="258"/>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在化工产业转型升级背景下，学院面临技术技能人才培养新要求和形成提升引领区域化工产业发展能力的新挑战，要实现从“建卓越 创优质 争一流”的目标，在内涵发展、特色发展与创新驱动发展方面还存在一定差距。</w:t>
      </w:r>
      <w:bookmarkStart w:id="259" w:name="_Toc451669459"/>
    </w:p>
    <w:bookmarkEnd w:id="259"/>
    <w:p>
      <w:pPr>
        <w:pStyle w:val="4"/>
        <w:spacing w:before="156" w:after="156"/>
        <w:ind w:firstLine="562"/>
        <w:rPr>
          <w:color w:val="000000" w:themeColor="text1"/>
        </w:rPr>
      </w:pPr>
      <w:bookmarkStart w:id="260" w:name="_Toc465427254"/>
      <w:bookmarkStart w:id="261" w:name="_Toc483481236"/>
      <w:bookmarkStart w:id="262" w:name="_Toc2672"/>
      <w:bookmarkStart w:id="263" w:name="_Toc483753585"/>
      <w:bookmarkStart w:id="264" w:name="_Toc12034"/>
      <w:r>
        <w:rPr>
          <w:rFonts w:hint="eastAsia"/>
          <w:color w:val="000000" w:themeColor="text1"/>
        </w:rPr>
        <w:t>（1）校企合作、产教融合长效机制尚不健全</w:t>
      </w:r>
      <w:bookmarkEnd w:id="260"/>
      <w:bookmarkEnd w:id="261"/>
      <w:bookmarkEnd w:id="262"/>
      <w:bookmarkEnd w:id="263"/>
      <w:bookmarkEnd w:id="264"/>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开放、资源整合观念不够新，创新源动力不足，保障条件有限，导致合作企业中龙头和知名企业的比例不高，深度合作有影响的项目、校企应用技术协同创新项目及专利成果推广应用数量不多。</w:t>
      </w:r>
    </w:p>
    <w:p>
      <w:pPr>
        <w:pStyle w:val="4"/>
        <w:spacing w:before="156" w:after="156"/>
        <w:ind w:firstLine="562"/>
        <w:rPr>
          <w:color w:val="000000" w:themeColor="text1"/>
        </w:rPr>
      </w:pPr>
      <w:bookmarkStart w:id="265" w:name="_Toc9159"/>
      <w:bookmarkStart w:id="266" w:name="_Toc483481237"/>
      <w:bookmarkStart w:id="267" w:name="_Toc483753586"/>
      <w:bookmarkStart w:id="268" w:name="_Toc465427255"/>
      <w:bookmarkStart w:id="269" w:name="_Toc7767"/>
      <w:r>
        <w:rPr>
          <w:rFonts w:hint="eastAsia"/>
          <w:color w:val="000000" w:themeColor="text1"/>
        </w:rPr>
        <w:t>（2）领军人才引进培养和教师应用技术研发服务能力还有一定差距</w:t>
      </w:r>
      <w:bookmarkEnd w:id="265"/>
      <w:bookmarkEnd w:id="266"/>
      <w:bookmarkEnd w:id="267"/>
      <w:bookmarkEnd w:id="268"/>
      <w:bookmarkEnd w:id="269"/>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领军人才引进与培养力度不够，教师应用技术研发与服务能力建设机制不健全，导致名师大师等领军人才不足，专业(群)带头人行业知名度和影响力不够，教师应用技术研发与服务能力不能很好满足企业需求。</w:t>
      </w:r>
    </w:p>
    <w:p>
      <w:pPr>
        <w:pStyle w:val="4"/>
        <w:spacing w:before="156" w:after="156"/>
        <w:ind w:firstLine="562"/>
        <w:rPr>
          <w:color w:val="000000" w:themeColor="text1"/>
        </w:rPr>
      </w:pPr>
      <w:bookmarkStart w:id="270" w:name="_Toc465427256"/>
      <w:bookmarkStart w:id="271" w:name="_Toc483481238"/>
      <w:bookmarkStart w:id="272" w:name="_Toc483753587"/>
      <w:bookmarkStart w:id="273" w:name="_Toc9580"/>
      <w:bookmarkStart w:id="274" w:name="_Toc12042"/>
      <w:r>
        <w:rPr>
          <w:rFonts w:hint="eastAsia"/>
          <w:color w:val="000000" w:themeColor="text1"/>
        </w:rPr>
        <w:t>（3）治理运行机制需进一步完善</w:t>
      </w:r>
      <w:bookmarkEnd w:id="270"/>
      <w:bookmarkEnd w:id="271"/>
      <w:bookmarkEnd w:id="272"/>
      <w:bookmarkEnd w:id="273"/>
      <w:bookmarkEnd w:id="274"/>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以章程为统领的制度、标准体系还不健全，内部质量保证诊断与改进体系不完善，与质量诊改、评价考核配套的分配与激励机制有待改进，现有制度体系还不能完全满足现代大学治理需要。</w:t>
      </w:r>
    </w:p>
    <w:p>
      <w:pPr>
        <w:pStyle w:val="3"/>
      </w:pPr>
      <w:bookmarkStart w:id="275" w:name="_Toc13743"/>
      <w:bookmarkStart w:id="276" w:name="_Toc5771"/>
      <w:r>
        <w:rPr>
          <w:rFonts w:hint="eastAsia"/>
        </w:rPr>
        <w:t>8.2 工作展望</w:t>
      </w:r>
      <w:bookmarkEnd w:id="275"/>
      <w:bookmarkEnd w:id="276"/>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根据学院第二次党代会确定的未来五年学校事业发展总体思路与发展目标，未来五年具体目标为“建卓越、创优质、争一流”，三年高标准完成卓越校验收，四年内力争进入200所之一的国家优质校，五年内力争进入全省6所之一的一流高职院校。</w:t>
      </w:r>
    </w:p>
    <w:p>
      <w:pPr>
        <w:spacing w:line="360" w:lineRule="auto"/>
        <w:ind w:firstLine="480" w:firstLineChars="200"/>
        <w:rPr>
          <w:rFonts w:ascii="宋体" w:hAnsi="宋体"/>
          <w:sz w:val="24"/>
        </w:rPr>
      </w:pPr>
      <w:bookmarkStart w:id="277" w:name="_Toc463446495"/>
      <w:bookmarkStart w:id="278" w:name="_Toc465427262"/>
      <w:bookmarkStart w:id="279" w:name="_Toc465531266"/>
      <w:r>
        <w:rPr>
          <w:rFonts w:hint="eastAsia" w:ascii="宋体" w:hAnsi="宋体" w:cs="华文楷体"/>
          <w:color w:val="000000"/>
          <w:kern w:val="0"/>
          <w:sz w:val="24"/>
        </w:rPr>
        <w:t>学院将以我省职业教育“双一流”建设为引领，</w:t>
      </w:r>
      <w:r>
        <w:rPr>
          <w:rFonts w:hint="eastAsia" w:ascii="宋体" w:hAnsi="宋体"/>
          <w:sz w:val="24"/>
        </w:rPr>
        <w:t>坚持“根植化工、合作育人、创新驱动、铸造品牌”办学理念，</w:t>
      </w:r>
      <w:r>
        <w:rPr>
          <w:rFonts w:hint="eastAsia" w:ascii="宋体" w:hAnsi="宋体" w:cs="华文楷体"/>
          <w:color w:val="000000"/>
          <w:kern w:val="0"/>
          <w:sz w:val="24"/>
        </w:rPr>
        <w:t>紧密对接高端专用化学品和药品生产，优化专业设置，高</w:t>
      </w:r>
      <w:r>
        <w:rPr>
          <w:rFonts w:ascii="宋体" w:hAnsi="宋体" w:cs="华文楷体"/>
          <w:color w:val="000000"/>
          <w:kern w:val="0"/>
          <w:sz w:val="24"/>
        </w:rPr>
        <w:t>标准打</w:t>
      </w:r>
      <w:r>
        <w:rPr>
          <w:rFonts w:hint="eastAsia" w:ascii="宋体" w:hAnsi="宋体" w:cs="华文楷体"/>
          <w:color w:val="000000"/>
          <w:kern w:val="0"/>
          <w:sz w:val="24"/>
        </w:rPr>
        <w:t>造化工特色专业集群；</w:t>
      </w:r>
      <w:r>
        <w:rPr>
          <w:rFonts w:hint="eastAsia" w:ascii="宋体" w:hAnsi="宋体"/>
          <w:sz w:val="24"/>
        </w:rPr>
        <w:t>围绕服务产业和地方经济、学生成长成才、学院自身发展的战略目标，</w:t>
      </w:r>
      <w:r>
        <w:rPr>
          <w:rFonts w:hint="eastAsia" w:ascii="宋体" w:hAnsi="宋体" w:cs="华文楷体"/>
          <w:color w:val="000000"/>
          <w:kern w:val="0"/>
          <w:sz w:val="24"/>
        </w:rPr>
        <w:t>校企深度合作，培养具有“工匠精神”可持续发展的高素质技术技能人才；深化关键领域改革，创新产教融合机制，“政、校、行、企”联动、协同创新，</w:t>
      </w:r>
      <w:r>
        <w:rPr>
          <w:rFonts w:hint="eastAsia" w:ascii="宋体" w:hAnsi="宋体"/>
          <w:sz w:val="24"/>
        </w:rPr>
        <w:t>全面推进学院“卓越”建设行动计划，实现学院跨越发展，全面提升办学实力和水平。</w:t>
      </w:r>
      <w:bookmarkEnd w:id="277"/>
      <w:bookmarkEnd w:id="278"/>
      <w:bookmarkEnd w:id="279"/>
    </w:p>
    <w:p>
      <w:pPr>
        <w:spacing w:line="360" w:lineRule="auto"/>
        <w:ind w:firstLine="480" w:firstLineChars="200"/>
        <w:rPr>
          <w:rFonts w:ascii="宋体" w:hAnsi="宋体"/>
          <w:sz w:val="24"/>
        </w:rPr>
      </w:pPr>
      <w:r>
        <w:rPr>
          <w:rFonts w:hint="eastAsia" w:ascii="宋体" w:hAnsi="宋体"/>
          <w:sz w:val="24"/>
        </w:rPr>
        <w:br w:type="page"/>
      </w:r>
    </w:p>
    <w:p>
      <w:pPr>
        <w:pStyle w:val="2"/>
        <w:jc w:val="center"/>
        <w:rPr>
          <w:rFonts w:hint="default"/>
        </w:rPr>
      </w:pPr>
      <w:bookmarkStart w:id="280" w:name="_Toc12839"/>
      <w:r>
        <w:t>附  表</w:t>
      </w:r>
      <w:bookmarkEnd w:id="280"/>
    </w:p>
    <w:p>
      <w:pPr>
        <w:pStyle w:val="3"/>
        <w:jc w:val="center"/>
      </w:pPr>
      <w:bookmarkStart w:id="281" w:name="_Toc19494"/>
      <w:r>
        <w:rPr>
          <w:rFonts w:hint="eastAsia"/>
        </w:rPr>
        <w:t>表1 计分卡</w:t>
      </w:r>
      <w:bookmarkEnd w:id="281"/>
    </w:p>
    <w:tbl>
      <w:tblPr>
        <w:tblStyle w:val="18"/>
        <w:tblW w:w="8562" w:type="dxa"/>
        <w:jc w:val="center"/>
        <w:tblInd w:w="0" w:type="dxa"/>
        <w:tblLayout w:type="fixed"/>
        <w:tblCellMar>
          <w:top w:w="0" w:type="dxa"/>
          <w:left w:w="108" w:type="dxa"/>
          <w:bottom w:w="0" w:type="dxa"/>
          <w:right w:w="108" w:type="dxa"/>
        </w:tblCellMar>
      </w:tblPr>
      <w:tblGrid>
        <w:gridCol w:w="765"/>
        <w:gridCol w:w="767"/>
        <w:gridCol w:w="473"/>
        <w:gridCol w:w="3506"/>
        <w:gridCol w:w="1011"/>
        <w:gridCol w:w="983"/>
        <w:gridCol w:w="1057"/>
      </w:tblGrid>
      <w:tr>
        <w:tblPrEx>
          <w:tblLayout w:type="fixed"/>
          <w:tblCellMar>
            <w:top w:w="0" w:type="dxa"/>
            <w:left w:w="108" w:type="dxa"/>
            <w:bottom w:w="0" w:type="dxa"/>
            <w:right w:w="108" w:type="dxa"/>
          </w:tblCellMar>
        </w:tblPrEx>
        <w:trPr>
          <w:trHeight w:val="707" w:hRule="atLeast"/>
          <w:jc w:val="center"/>
        </w:trPr>
        <w:tc>
          <w:tcPr>
            <w:tcW w:w="765" w:type="dxa"/>
            <w:tcBorders>
              <w:top w:val="single" w:color="auto" w:sz="4" w:space="0"/>
              <w:left w:val="single" w:color="auto" w:sz="4" w:space="0"/>
              <w:bottom w:val="single" w:color="auto" w:sz="4" w:space="0"/>
            </w:tcBorders>
            <w:shd w:val="clear" w:color="auto" w:fill="auto"/>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院校代码</w:t>
            </w:r>
          </w:p>
        </w:tc>
        <w:tc>
          <w:tcPr>
            <w:tcW w:w="767" w:type="dxa"/>
            <w:tcBorders>
              <w:top w:val="single" w:color="auto" w:sz="4" w:space="0"/>
              <w:left w:val="single" w:color="auto" w:sz="4" w:space="0"/>
              <w:bottom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院校名称</w:t>
            </w:r>
          </w:p>
        </w:tc>
        <w:tc>
          <w:tcPr>
            <w:tcW w:w="39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指标</w:t>
            </w:r>
          </w:p>
        </w:tc>
        <w:tc>
          <w:tcPr>
            <w:tcW w:w="1011"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单位</w:t>
            </w:r>
          </w:p>
        </w:tc>
        <w:tc>
          <w:tcPr>
            <w:tcW w:w="983"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201</w:t>
            </w:r>
            <w:r>
              <w:rPr>
                <w:rFonts w:ascii="仿宋_GB2312" w:hAnsi="宋体" w:eastAsia="仿宋_GB2312" w:cs="宋体"/>
                <w:b/>
                <w:bCs/>
                <w:kern w:val="0"/>
                <w:sz w:val="24"/>
              </w:rPr>
              <w:t>6</w:t>
            </w:r>
            <w:r>
              <w:rPr>
                <w:rFonts w:hint="eastAsia" w:ascii="仿宋_GB2312" w:hAnsi="宋体" w:eastAsia="仿宋_GB2312" w:cs="宋体"/>
                <w:b/>
                <w:bCs/>
                <w:kern w:val="0"/>
                <w:sz w:val="24"/>
              </w:rPr>
              <w:t>年</w:t>
            </w:r>
          </w:p>
        </w:tc>
        <w:tc>
          <w:tcPr>
            <w:tcW w:w="1057" w:type="dxa"/>
            <w:tcBorders>
              <w:top w:val="single" w:color="auto" w:sz="4" w:space="0"/>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b/>
                <w:bCs/>
                <w:kern w:val="0"/>
                <w:sz w:val="24"/>
              </w:rPr>
            </w:pPr>
            <w:r>
              <w:rPr>
                <w:rFonts w:hint="eastAsia" w:ascii="仿宋_GB2312" w:hAnsi="宋体" w:eastAsia="仿宋_GB2312" w:cs="宋体"/>
                <w:b/>
                <w:bCs/>
                <w:kern w:val="0"/>
                <w:sz w:val="24"/>
              </w:rPr>
              <w:t>201</w:t>
            </w:r>
            <w:r>
              <w:rPr>
                <w:rFonts w:ascii="仿宋_GB2312" w:hAnsi="宋体" w:eastAsia="仿宋_GB2312" w:cs="宋体"/>
                <w:b/>
                <w:bCs/>
                <w:kern w:val="0"/>
                <w:sz w:val="24"/>
              </w:rPr>
              <w:t>7</w:t>
            </w:r>
            <w:r>
              <w:rPr>
                <w:rFonts w:hint="eastAsia" w:ascii="仿宋_GB2312" w:hAnsi="宋体" w:eastAsia="仿宋_GB2312" w:cs="宋体"/>
                <w:b/>
                <w:bCs/>
                <w:kern w:val="0"/>
                <w:sz w:val="24"/>
              </w:rPr>
              <w:t>年</w:t>
            </w:r>
          </w:p>
        </w:tc>
      </w:tr>
      <w:tr>
        <w:tblPrEx>
          <w:tblLayout w:type="fixed"/>
          <w:tblCellMar>
            <w:top w:w="0" w:type="dxa"/>
            <w:left w:w="108" w:type="dxa"/>
            <w:bottom w:w="0" w:type="dxa"/>
            <w:right w:w="108" w:type="dxa"/>
          </w:tblCellMar>
        </w:tblPrEx>
        <w:trPr>
          <w:trHeight w:val="285" w:hRule="atLeast"/>
          <w:jc w:val="center"/>
        </w:trPr>
        <w:tc>
          <w:tcPr>
            <w:tcW w:w="765" w:type="dxa"/>
            <w:vMerge w:val="restart"/>
            <w:tcBorders>
              <w:top w:val="single" w:color="auto" w:sz="4" w:space="0"/>
              <w:lef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Cs w:val="21"/>
              </w:rPr>
            </w:pPr>
            <w:r>
              <w:rPr>
                <w:rFonts w:hint="eastAsia" w:ascii="仿宋_GB2312" w:hAnsi="宋体" w:eastAsia="仿宋_GB2312" w:cs="宋体"/>
                <w:kern w:val="0"/>
                <w:szCs w:val="21"/>
              </w:rPr>
              <w:t>13043</w:t>
            </w:r>
          </w:p>
        </w:tc>
        <w:tc>
          <w:tcPr>
            <w:tcW w:w="767" w:type="dxa"/>
            <w:vMerge w:val="restart"/>
            <w:tcBorders>
              <w:top w:val="single" w:color="auto" w:sz="4" w:space="0"/>
              <w:lef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Cs w:val="21"/>
              </w:rPr>
            </w:pPr>
            <w:r>
              <w:rPr>
                <w:rFonts w:hint="eastAsia" w:ascii="仿宋_GB2312" w:hAnsi="宋体" w:eastAsia="仿宋_GB2312" w:cs="宋体"/>
                <w:kern w:val="0"/>
                <w:szCs w:val="21"/>
              </w:rPr>
              <w:t>湖南化工职业技术学院</w:t>
            </w: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1</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就业率</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93.03</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97.86</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767"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2</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月收入</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元</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3752</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3979</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tcBorders>
            <w:shd w:val="clear" w:color="auto" w:fill="auto"/>
          </w:tcPr>
          <w:p>
            <w:pPr>
              <w:widowControl/>
              <w:snapToGrid w:val="0"/>
              <w:spacing w:line="312" w:lineRule="auto"/>
              <w:ind w:firstLine="120" w:firstLineChars="50"/>
              <w:rPr>
                <w:rFonts w:ascii="仿宋_GB2312" w:hAnsi="宋体" w:eastAsia="仿宋_GB2312" w:cs="宋体"/>
                <w:kern w:val="0"/>
                <w:sz w:val="24"/>
              </w:rPr>
            </w:pPr>
          </w:p>
        </w:tc>
        <w:tc>
          <w:tcPr>
            <w:tcW w:w="767" w:type="dxa"/>
            <w:vMerge w:val="continue"/>
            <w:tcBorders>
              <w:left w:val="single" w:color="auto" w:sz="4" w:space="0"/>
            </w:tcBorders>
            <w:shd w:val="clear" w:color="auto" w:fill="auto"/>
          </w:tcPr>
          <w:p>
            <w:pPr>
              <w:widowControl/>
              <w:snapToGrid w:val="0"/>
              <w:spacing w:line="312" w:lineRule="auto"/>
              <w:ind w:firstLine="120" w:firstLineChars="50"/>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3</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理工农医类专业相关度</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94.15</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93.74</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tcBorders>
            <w:shd w:val="clear" w:color="auto" w:fill="auto"/>
          </w:tcPr>
          <w:p>
            <w:pPr>
              <w:widowControl/>
              <w:snapToGrid w:val="0"/>
              <w:spacing w:line="312" w:lineRule="auto"/>
              <w:ind w:firstLine="120" w:firstLineChars="50"/>
              <w:rPr>
                <w:rFonts w:ascii="仿宋_GB2312" w:hAnsi="宋体" w:eastAsia="仿宋_GB2312" w:cs="宋体"/>
                <w:kern w:val="0"/>
                <w:sz w:val="24"/>
              </w:rPr>
            </w:pPr>
          </w:p>
        </w:tc>
        <w:tc>
          <w:tcPr>
            <w:tcW w:w="767" w:type="dxa"/>
            <w:vMerge w:val="continue"/>
            <w:tcBorders>
              <w:left w:val="single" w:color="auto" w:sz="4" w:space="0"/>
            </w:tcBorders>
            <w:shd w:val="clear" w:color="auto" w:fill="auto"/>
          </w:tcPr>
          <w:p>
            <w:pPr>
              <w:widowControl/>
              <w:snapToGrid w:val="0"/>
              <w:spacing w:line="312" w:lineRule="auto"/>
              <w:ind w:firstLine="120" w:firstLineChars="50"/>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4</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母校满意度</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97.48</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98.57</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767"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5</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自主创业比例</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4.7</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4.7</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767" w:type="dxa"/>
            <w:vMerge w:val="continue"/>
            <w:tcBorders>
              <w:left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6</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雇主满意度</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FFFFFF"/>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98.78</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97.86</w:t>
            </w:r>
          </w:p>
        </w:tc>
      </w:tr>
      <w:tr>
        <w:tblPrEx>
          <w:tblLayout w:type="fixed"/>
          <w:tblCellMar>
            <w:top w:w="0" w:type="dxa"/>
            <w:left w:w="108" w:type="dxa"/>
            <w:bottom w:w="0" w:type="dxa"/>
            <w:right w:w="108" w:type="dxa"/>
          </w:tblCellMar>
        </w:tblPrEx>
        <w:trPr>
          <w:trHeight w:val="285" w:hRule="atLeast"/>
          <w:jc w:val="center"/>
        </w:trPr>
        <w:tc>
          <w:tcPr>
            <w:tcW w:w="765" w:type="dxa"/>
            <w:vMerge w:val="continue"/>
            <w:tcBorders>
              <w:left w:val="single" w:color="auto" w:sz="4" w:space="0"/>
              <w:bottom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767" w:type="dxa"/>
            <w:vMerge w:val="continue"/>
            <w:tcBorders>
              <w:left w:val="single" w:color="auto" w:sz="4" w:space="0"/>
              <w:bottom w:val="single" w:color="auto" w:sz="4" w:space="0"/>
            </w:tcBorders>
            <w:shd w:val="clear" w:color="auto" w:fill="auto"/>
          </w:tcPr>
          <w:p>
            <w:pPr>
              <w:widowControl/>
              <w:snapToGrid w:val="0"/>
              <w:spacing w:line="312" w:lineRule="auto"/>
              <w:jc w:val="center"/>
              <w:rPr>
                <w:rFonts w:ascii="仿宋_GB2312" w:hAnsi="宋体"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312" w:lineRule="auto"/>
              <w:rPr>
                <w:rFonts w:ascii="仿宋_GB2312" w:hAnsi="宋体" w:eastAsia="仿宋_GB2312" w:cs="宋体"/>
                <w:kern w:val="0"/>
                <w:sz w:val="24"/>
              </w:rPr>
            </w:pPr>
            <w:r>
              <w:rPr>
                <w:rFonts w:hint="eastAsia" w:ascii="仿宋_GB2312" w:hAnsi="宋体" w:eastAsia="仿宋_GB2312" w:cs="宋体"/>
                <w:kern w:val="0"/>
                <w:sz w:val="24"/>
              </w:rPr>
              <w:t>7</w:t>
            </w:r>
          </w:p>
        </w:tc>
        <w:tc>
          <w:tcPr>
            <w:tcW w:w="3506"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left"/>
              <w:rPr>
                <w:rFonts w:ascii="仿宋_GB2312" w:hAnsi="宋体" w:eastAsia="仿宋_GB2312" w:cs="宋体"/>
                <w:kern w:val="0"/>
                <w:sz w:val="24"/>
              </w:rPr>
            </w:pPr>
            <w:r>
              <w:rPr>
                <w:rFonts w:hint="eastAsia" w:ascii="仿宋_GB2312" w:hAnsi="宋体" w:eastAsia="仿宋_GB2312" w:cs="宋体"/>
                <w:kern w:val="0"/>
                <w:sz w:val="24"/>
              </w:rPr>
              <w:t>毕业三年职位晋升比例</w:t>
            </w:r>
          </w:p>
        </w:tc>
        <w:tc>
          <w:tcPr>
            <w:tcW w:w="1011"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w:t>
            </w:r>
          </w:p>
        </w:tc>
        <w:tc>
          <w:tcPr>
            <w:tcW w:w="983"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46.13</w:t>
            </w:r>
          </w:p>
        </w:tc>
        <w:tc>
          <w:tcPr>
            <w:tcW w:w="10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仿宋_GB2312" w:hAnsi="宋体" w:eastAsia="仿宋_GB2312" w:cs="宋体"/>
                <w:kern w:val="0"/>
                <w:sz w:val="24"/>
              </w:rPr>
            </w:pPr>
            <w:r>
              <w:rPr>
                <w:rFonts w:hint="eastAsia" w:ascii="仿宋_GB2312" w:hAnsi="宋体" w:eastAsia="仿宋_GB2312" w:cs="宋体"/>
                <w:kern w:val="0"/>
                <w:sz w:val="24"/>
              </w:rPr>
              <w:t>72.41</w:t>
            </w:r>
          </w:p>
        </w:tc>
      </w:tr>
    </w:tbl>
    <w:p>
      <w:pPr>
        <w:adjustRightInd w:val="0"/>
        <w:snapToGrid w:val="0"/>
        <w:spacing w:line="360" w:lineRule="auto"/>
        <w:ind w:firstLine="480"/>
        <w:rPr>
          <w:rFonts w:asciiTheme="minorEastAsia" w:hAnsiTheme="minorEastAsia" w:cstheme="minorEastAsia"/>
          <w:szCs w:val="21"/>
        </w:rPr>
      </w:pPr>
      <w:r>
        <w:rPr>
          <w:rFonts w:hint="eastAsia" w:asciiTheme="minorEastAsia" w:hAnsiTheme="minorEastAsia" w:cstheme="minorEastAsia"/>
          <w:b/>
          <w:bCs/>
          <w:szCs w:val="21"/>
        </w:rPr>
        <w:t>注：</w:t>
      </w:r>
      <w:r>
        <w:rPr>
          <w:rFonts w:hint="eastAsia" w:asciiTheme="minorEastAsia" w:hAnsiTheme="minorEastAsia" w:cstheme="minorEastAsia"/>
          <w:szCs w:val="21"/>
        </w:rPr>
        <w:t>2012、2013届毕业生抽样调查将职位晋升明确为：岗位职务晋升和职业资格晋升，2014届毕业生抽样调查按教育部文件要求，扩大了职位晋升的范围，因此，一是数据出现较大增长，二是不方便与前两届毕业生进行对比（2014届毕业生抽样人数140人，有效数据116人，图中相关比例的计算以116人基准）。</w:t>
      </w:r>
    </w:p>
    <w:p>
      <w:pPr>
        <w:adjustRightInd w:val="0"/>
        <w:snapToGrid w:val="0"/>
        <w:spacing w:line="336" w:lineRule="auto"/>
        <w:rPr>
          <w:rFonts w:asciiTheme="minorEastAsia" w:hAnsiTheme="minorEastAsia" w:cstheme="minorEastAsia"/>
          <w:szCs w:val="21"/>
        </w:rPr>
      </w:pPr>
    </w:p>
    <w:p>
      <w:pPr>
        <w:adjustRightInd w:val="0"/>
        <w:snapToGrid w:val="0"/>
        <w:spacing w:line="336" w:lineRule="auto"/>
        <w:rPr>
          <w:rFonts w:asciiTheme="minorEastAsia" w:hAnsiTheme="minorEastAsia" w:cstheme="minorEastAsia"/>
          <w:b/>
          <w:bCs/>
          <w:szCs w:val="21"/>
        </w:rPr>
      </w:pPr>
      <w:r>
        <w:rPr>
          <w:rFonts w:hint="eastAsia" w:asciiTheme="minorEastAsia" w:hAnsiTheme="minorEastAsia" w:cstheme="minorEastAsia"/>
          <w:b/>
          <w:bCs/>
          <w:szCs w:val="21"/>
        </w:rPr>
        <w:t>“计分卡”指标及相关内涵说明</w:t>
      </w:r>
    </w:p>
    <w:p>
      <w:pPr>
        <w:adjustRightInd w:val="0"/>
        <w:snapToGrid w:val="0"/>
        <w:spacing w:line="336" w:lineRule="auto"/>
        <w:rPr>
          <w:rFonts w:asciiTheme="minorEastAsia" w:hAnsiTheme="minorEastAsia" w:cstheme="minorEastAsia"/>
          <w:szCs w:val="21"/>
        </w:rPr>
      </w:pPr>
      <w:r>
        <w:rPr>
          <w:rFonts w:hint="eastAsia" w:asciiTheme="minorEastAsia" w:hAnsiTheme="minorEastAsia" w:cstheme="minorEastAsia"/>
          <w:szCs w:val="21"/>
        </w:rPr>
        <w:t>“计分卡”系综合衡量院校人才培养质量的管理评价工具。</w:t>
      </w:r>
    </w:p>
    <w:p>
      <w:pPr>
        <w:adjustRightInd w:val="0"/>
        <w:snapToGrid w:val="0"/>
        <w:spacing w:line="336" w:lineRule="auto"/>
        <w:rPr>
          <w:rFonts w:asciiTheme="minorEastAsia" w:hAnsiTheme="minorEastAsia" w:cstheme="minorEastAsia"/>
          <w:szCs w:val="21"/>
        </w:rPr>
      </w:pPr>
      <w:r>
        <w:rPr>
          <w:rFonts w:hint="eastAsia" w:asciiTheme="minorEastAsia" w:hAnsiTheme="minorEastAsia" w:cstheme="minorEastAsia"/>
          <w:szCs w:val="21"/>
        </w:rPr>
        <w:t>1.毕业生“就业率”的分子为已就业毕业生人数，分母为毕业生总人数。已就业毕业生包括：受雇全职工作人员、受雇半职工作人员、自主创业就业人员、毕业后入伍人员、毕业后读本科人员。</w:t>
      </w:r>
    </w:p>
    <w:p>
      <w:pPr>
        <w:adjustRightInd w:val="0"/>
        <w:snapToGrid w:val="0"/>
        <w:spacing w:line="336" w:lineRule="auto"/>
        <w:rPr>
          <w:rFonts w:asciiTheme="minorEastAsia" w:hAnsiTheme="minorEastAsia" w:cstheme="minorEastAsia"/>
          <w:szCs w:val="21"/>
        </w:rPr>
      </w:pPr>
      <w:r>
        <w:rPr>
          <w:rFonts w:hint="eastAsia" w:asciiTheme="minorEastAsia" w:hAnsiTheme="minorEastAsia" w:cstheme="minorEastAsia"/>
          <w:szCs w:val="21"/>
        </w:rPr>
        <w:t>2.“月收入”指包含奖金、提成、住宿、住房公积金等折算成的现金总和。</w:t>
      </w:r>
    </w:p>
    <w:p>
      <w:pPr>
        <w:adjustRightInd w:val="0"/>
        <w:snapToGrid w:val="0"/>
        <w:spacing w:line="336" w:lineRule="auto"/>
        <w:rPr>
          <w:rFonts w:asciiTheme="minorEastAsia" w:hAnsiTheme="minorEastAsia" w:cstheme="minorEastAsia"/>
          <w:szCs w:val="21"/>
        </w:rPr>
      </w:pPr>
      <w:r>
        <w:rPr>
          <w:rFonts w:hint="eastAsia" w:asciiTheme="minorEastAsia" w:hAnsiTheme="minorEastAsia" w:cstheme="minorEastAsia"/>
          <w:szCs w:val="21"/>
        </w:rPr>
        <w:t>3.“理工农医类专业相关度”指理工农医类专业的毕业生认为所从事的工作与所学专业相关的比例，分母是本单位调查时理工农医类专业就业的毕业生人数，分子是本单位理工农医类专业的毕业生认为所从事的工作与所学专业相关的人数。</w:t>
      </w:r>
    </w:p>
    <w:p>
      <w:pPr>
        <w:adjustRightInd w:val="0"/>
        <w:snapToGrid w:val="0"/>
        <w:spacing w:line="336" w:lineRule="auto"/>
        <w:rPr>
          <w:rFonts w:asciiTheme="minorEastAsia" w:hAnsiTheme="minorEastAsia" w:cstheme="minorEastAsia"/>
          <w:szCs w:val="21"/>
        </w:rPr>
      </w:pPr>
      <w:r>
        <w:rPr>
          <w:rFonts w:hint="eastAsia" w:asciiTheme="minorEastAsia" w:hAnsiTheme="minorEastAsia" w:cstheme="minorEastAsia"/>
          <w:szCs w:val="21"/>
        </w:rPr>
        <w:t>4.“母校满意度”指本校高职毕业生对母校表示满意的比例。</w:t>
      </w:r>
    </w:p>
    <w:p>
      <w:pPr>
        <w:adjustRightInd w:val="0"/>
        <w:snapToGrid w:val="0"/>
        <w:spacing w:line="336" w:lineRule="auto"/>
        <w:rPr>
          <w:rFonts w:asciiTheme="minorEastAsia" w:hAnsiTheme="minorEastAsia" w:cstheme="minorEastAsia"/>
          <w:szCs w:val="21"/>
        </w:rPr>
      </w:pPr>
      <w:r>
        <w:rPr>
          <w:rFonts w:hint="eastAsia" w:asciiTheme="minorEastAsia" w:hAnsiTheme="minorEastAsia" w:cstheme="minorEastAsia"/>
          <w:szCs w:val="21"/>
        </w:rPr>
        <w:t>5.“雇主满意度”指录用应届高职毕业生的单位或部门对录用本校学生的满意度评价。</w:t>
      </w:r>
    </w:p>
    <w:p>
      <w:pPr>
        <w:adjustRightInd w:val="0"/>
        <w:snapToGrid w:val="0"/>
        <w:spacing w:line="336" w:lineRule="auto"/>
        <w:rPr>
          <w:rFonts w:asciiTheme="minorEastAsia" w:hAnsiTheme="minorEastAsia" w:cstheme="minorEastAsia"/>
          <w:szCs w:val="21"/>
        </w:rPr>
      </w:pPr>
      <w:r>
        <w:rPr>
          <w:rFonts w:hint="eastAsia" w:asciiTheme="minorEastAsia" w:hAnsiTheme="minorEastAsia" w:cstheme="minorEastAsia"/>
          <w:szCs w:val="21"/>
        </w:rPr>
        <w:t>6.“毕业三年职位晋升比例”指本校2014届高职生毕业三年后有过职位晋升的比例。分母是本校2014届高职毕业生数，分子是毕业三年后有过职位晋升的本校2014届高职毕业生数，此处职位晋升形式可包含：工作职责的增大、管理权限的扩大、专业职称的提升及由这些带来的薪资增加。</w:t>
      </w:r>
    </w:p>
    <w:p>
      <w:pPr>
        <w:adjustRightInd w:val="0"/>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br w:type="page"/>
      </w:r>
    </w:p>
    <w:p>
      <w:pPr>
        <w:pStyle w:val="3"/>
        <w:jc w:val="center"/>
      </w:pPr>
      <w:bookmarkStart w:id="282" w:name="_Toc20001"/>
      <w:r>
        <w:rPr>
          <w:rFonts w:hint="eastAsia"/>
        </w:rPr>
        <w:t>表2 资源表</w:t>
      </w:r>
      <w:bookmarkEnd w:id="282"/>
    </w:p>
    <w:tbl>
      <w:tblPr>
        <w:tblStyle w:val="18"/>
        <w:tblpPr w:leftFromText="180" w:rightFromText="180" w:vertAnchor="page" w:horzAnchor="page" w:tblpX="1875" w:tblpY="2524"/>
        <w:tblW w:w="8624" w:type="dxa"/>
        <w:tblInd w:w="0" w:type="dxa"/>
        <w:tblLayout w:type="fixed"/>
        <w:tblCellMar>
          <w:top w:w="0" w:type="dxa"/>
          <w:left w:w="108" w:type="dxa"/>
          <w:bottom w:w="0" w:type="dxa"/>
          <w:right w:w="108" w:type="dxa"/>
        </w:tblCellMar>
      </w:tblPr>
      <w:tblGrid>
        <w:gridCol w:w="819"/>
        <w:gridCol w:w="854"/>
        <w:gridCol w:w="424"/>
        <w:gridCol w:w="3548"/>
        <w:gridCol w:w="993"/>
        <w:gridCol w:w="993"/>
        <w:gridCol w:w="993"/>
      </w:tblGrid>
      <w:tr>
        <w:tblPrEx>
          <w:tblLayout w:type="fixed"/>
          <w:tblCellMar>
            <w:top w:w="0" w:type="dxa"/>
            <w:left w:w="108" w:type="dxa"/>
            <w:bottom w:w="0" w:type="dxa"/>
            <w:right w:w="108" w:type="dxa"/>
          </w:tblCellMar>
        </w:tblPrEx>
        <w:trPr>
          <w:trHeight w:val="288" w:hRule="atLeast"/>
        </w:trPr>
        <w:tc>
          <w:tcPr>
            <w:tcW w:w="8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b/>
                <w:bCs/>
                <w:kern w:val="0"/>
                <w:sz w:val="24"/>
              </w:rPr>
            </w:pPr>
            <w:r>
              <w:rPr>
                <w:rFonts w:hint="eastAsia" w:ascii="仿宋" w:hAnsi="仿宋" w:eastAsia="仿宋" w:cs="宋体"/>
                <w:b/>
                <w:bCs/>
                <w:kern w:val="0"/>
                <w:sz w:val="24"/>
              </w:rPr>
              <w:t>院校代码</w:t>
            </w:r>
          </w:p>
        </w:tc>
        <w:tc>
          <w:tcPr>
            <w:tcW w:w="854"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b/>
                <w:bCs/>
                <w:kern w:val="0"/>
                <w:sz w:val="24"/>
              </w:rPr>
            </w:pPr>
            <w:r>
              <w:rPr>
                <w:rFonts w:hint="eastAsia" w:ascii="仿宋" w:hAnsi="仿宋" w:eastAsia="仿宋" w:cs="宋体"/>
                <w:b/>
                <w:bCs/>
                <w:kern w:val="0"/>
                <w:sz w:val="24"/>
              </w:rPr>
              <w:t>院校名称</w:t>
            </w:r>
          </w:p>
        </w:tc>
        <w:tc>
          <w:tcPr>
            <w:tcW w:w="3972"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指标</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单位</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6</w:t>
            </w:r>
            <w:r>
              <w:rPr>
                <w:rFonts w:hint="eastAsia" w:ascii="仿宋" w:hAnsi="仿宋" w:eastAsia="仿宋" w:cs="宋体"/>
                <w:b/>
                <w:bCs/>
                <w:kern w:val="0"/>
                <w:sz w:val="24"/>
              </w:rPr>
              <w:t>年</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7</w:t>
            </w:r>
            <w:r>
              <w:rPr>
                <w:rFonts w:hint="eastAsia" w:ascii="仿宋" w:hAnsi="仿宋" w:eastAsia="仿宋" w:cs="宋体"/>
                <w:b/>
                <w:bCs/>
                <w:kern w:val="0"/>
                <w:sz w:val="24"/>
              </w:rPr>
              <w:t>年</w:t>
            </w:r>
          </w:p>
        </w:tc>
      </w:tr>
      <w:tr>
        <w:tblPrEx>
          <w:tblLayout w:type="fixed"/>
          <w:tblCellMar>
            <w:top w:w="0" w:type="dxa"/>
            <w:left w:w="108" w:type="dxa"/>
            <w:bottom w:w="0" w:type="dxa"/>
            <w:right w:w="108" w:type="dxa"/>
          </w:tblCellMar>
        </w:tblPrEx>
        <w:trPr>
          <w:trHeight w:val="455" w:hRule="atLeast"/>
        </w:trPr>
        <w:tc>
          <w:tcPr>
            <w:tcW w:w="819"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13043</w:t>
            </w:r>
          </w:p>
        </w:tc>
        <w:tc>
          <w:tcPr>
            <w:tcW w:w="854"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湖南化工职业技术学院</w:t>
            </w: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生师比</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15.86</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15.37</w:t>
            </w:r>
          </w:p>
        </w:tc>
      </w:tr>
      <w:tr>
        <w:tblPrEx>
          <w:tblLayout w:type="fixed"/>
          <w:tblCellMar>
            <w:top w:w="0" w:type="dxa"/>
            <w:left w:w="108" w:type="dxa"/>
            <w:bottom w:w="0" w:type="dxa"/>
            <w:right w:w="108" w:type="dxa"/>
          </w:tblCellMar>
        </w:tblPrEx>
        <w:trPr>
          <w:trHeight w:val="468"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双师素质专任教师比例</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70.36</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75.13</w:t>
            </w:r>
          </w:p>
        </w:tc>
      </w:tr>
      <w:tr>
        <w:tblPrEx>
          <w:tblLayout w:type="fixed"/>
          <w:tblCellMar>
            <w:top w:w="0" w:type="dxa"/>
            <w:left w:w="108" w:type="dxa"/>
            <w:bottom w:w="0" w:type="dxa"/>
            <w:right w:w="108" w:type="dxa"/>
          </w:tblCellMar>
        </w:tblPrEx>
        <w:trPr>
          <w:trHeight w:val="468"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ascii="仿宋" w:hAnsi="仿宋" w:eastAsia="仿宋" w:cs="宋体"/>
                <w:kern w:val="0"/>
                <w:sz w:val="24"/>
              </w:rPr>
              <w:t>3</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生均教学科研仪器设备值</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元/生</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8205.1</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8025.9</w:t>
            </w:r>
          </w:p>
        </w:tc>
      </w:tr>
      <w:tr>
        <w:tblPrEx>
          <w:tblLayout w:type="fixed"/>
          <w:tblCellMar>
            <w:top w:w="0" w:type="dxa"/>
            <w:left w:w="108" w:type="dxa"/>
            <w:bottom w:w="0" w:type="dxa"/>
            <w:right w:w="108" w:type="dxa"/>
          </w:tblCellMar>
        </w:tblPrEx>
        <w:trPr>
          <w:trHeight w:val="468"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4</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生均教学及辅助、行政办公用房面积</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vertAlign w:val="superscript"/>
              </w:rPr>
            </w:pPr>
            <w:r>
              <w:rPr>
                <w:rFonts w:hint="eastAsia" w:ascii="仿宋" w:hAnsi="仿宋" w:eastAsia="仿宋" w:cs="宋体"/>
                <w:kern w:val="0"/>
                <w:sz w:val="24"/>
              </w:rPr>
              <w:t>m</w:t>
            </w:r>
            <w:r>
              <w:rPr>
                <w:rFonts w:hint="eastAsia" w:ascii="仿宋" w:hAnsi="仿宋" w:eastAsia="仿宋" w:cs="宋体"/>
                <w:kern w:val="0"/>
                <w:sz w:val="24"/>
                <w:vertAlign w:val="superscript"/>
              </w:rPr>
              <w:t>2</w:t>
            </w:r>
            <w:r>
              <w:rPr>
                <w:rFonts w:hint="eastAsia" w:ascii="仿宋" w:hAnsi="仿宋" w:eastAsia="仿宋" w:cs="宋体"/>
                <w:kern w:val="0"/>
                <w:sz w:val="24"/>
              </w:rPr>
              <w:t>/生</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29.71</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20.83</w:t>
            </w:r>
          </w:p>
        </w:tc>
      </w:tr>
      <w:tr>
        <w:tblPrEx>
          <w:tblLayout w:type="fixed"/>
          <w:tblCellMar>
            <w:top w:w="0" w:type="dxa"/>
            <w:left w:w="108" w:type="dxa"/>
            <w:bottom w:w="0" w:type="dxa"/>
            <w:right w:w="108" w:type="dxa"/>
          </w:tblCellMar>
        </w:tblPrEx>
        <w:trPr>
          <w:trHeight w:val="468"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ascii="仿宋" w:hAnsi="仿宋" w:eastAsia="仿宋" w:cs="宋体"/>
                <w:kern w:val="0"/>
                <w:sz w:val="24"/>
              </w:rPr>
              <w:t>5</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生均校内实践教学工位数</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个/生</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0.69</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0.59</w:t>
            </w:r>
          </w:p>
        </w:tc>
      </w:tr>
      <w:tr>
        <w:tblPrEx>
          <w:tblLayout w:type="fixed"/>
          <w:tblCellMar>
            <w:top w:w="0" w:type="dxa"/>
            <w:left w:w="108" w:type="dxa"/>
            <w:bottom w:w="0" w:type="dxa"/>
            <w:right w:w="108" w:type="dxa"/>
          </w:tblCellMar>
        </w:tblPrEx>
        <w:trPr>
          <w:trHeight w:val="468"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ascii="仿宋" w:hAnsi="仿宋" w:eastAsia="仿宋" w:cs="宋体"/>
                <w:kern w:val="0"/>
                <w:sz w:val="24"/>
              </w:rPr>
              <w:t>6</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校园网主干最大带宽</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Mbps</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1000</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1000</w:t>
            </w:r>
          </w:p>
        </w:tc>
      </w:tr>
      <w:tr>
        <w:tblPrEx>
          <w:tblLayout w:type="fixed"/>
          <w:tblCellMar>
            <w:top w:w="0" w:type="dxa"/>
            <w:left w:w="108" w:type="dxa"/>
            <w:bottom w:w="0" w:type="dxa"/>
            <w:right w:w="108" w:type="dxa"/>
          </w:tblCellMar>
        </w:tblPrEx>
        <w:trPr>
          <w:trHeight w:val="499"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vMerge w:val="restar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ascii="仿宋" w:hAnsi="仿宋" w:eastAsia="仿宋" w:cs="宋体"/>
                <w:kern w:val="0"/>
                <w:sz w:val="24"/>
              </w:rPr>
              <w:t>7</w:t>
            </w: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ascii="仿宋" w:hAnsi="仿宋" w:eastAsia="仿宋" w:cs="宋体"/>
                <w:kern w:val="0"/>
                <w:sz w:val="24"/>
              </w:rPr>
              <w:t>教学计划内课程总数</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门</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847</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664</w:t>
            </w:r>
          </w:p>
        </w:tc>
      </w:tr>
      <w:tr>
        <w:tblPrEx>
          <w:tblLayout w:type="fixed"/>
          <w:tblCellMar>
            <w:top w:w="0" w:type="dxa"/>
            <w:left w:w="108" w:type="dxa"/>
            <w:bottom w:w="0" w:type="dxa"/>
            <w:right w:w="108" w:type="dxa"/>
          </w:tblCellMar>
        </w:tblPrEx>
        <w:trPr>
          <w:trHeight w:val="549"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24" w:type="dxa"/>
            <w:vMerge w:val="continue"/>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p>
        </w:tc>
        <w:tc>
          <w:tcPr>
            <w:tcW w:w="3548" w:type="dxa"/>
            <w:tcBorders>
              <w:top w:val="single" w:color="auto" w:sz="4" w:space="0"/>
              <w:left w:val="nil"/>
              <w:bottom w:val="single" w:color="auto" w:sz="4" w:space="0"/>
              <w:right w:val="single" w:color="auto" w:sz="4" w:space="0"/>
            </w:tcBorders>
            <w:shd w:val="clear" w:color="000000" w:fill="FFFFFF"/>
            <w:vAlign w:val="center"/>
          </w:tcPr>
          <w:p>
            <w:pPr>
              <w:widowControl/>
              <w:ind w:firstLine="240" w:firstLineChars="100"/>
              <w:jc w:val="left"/>
              <w:rPr>
                <w:rFonts w:ascii="仿宋" w:hAnsi="仿宋" w:eastAsia="仿宋" w:cs="宋体"/>
                <w:kern w:val="0"/>
                <w:sz w:val="24"/>
              </w:rPr>
            </w:pPr>
            <w:r>
              <w:rPr>
                <w:rFonts w:ascii="仿宋" w:hAnsi="仿宋" w:eastAsia="仿宋" w:cs="宋体"/>
                <w:kern w:val="0"/>
                <w:sz w:val="24"/>
              </w:rPr>
              <w:t>其中：线上开设课程数</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门</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233</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317</w:t>
            </w:r>
          </w:p>
        </w:tc>
      </w:tr>
      <w:tr>
        <w:tblPrEx>
          <w:tblLayout w:type="fixed"/>
          <w:tblCellMar>
            <w:top w:w="0" w:type="dxa"/>
            <w:left w:w="108" w:type="dxa"/>
            <w:bottom w:w="0" w:type="dxa"/>
            <w:right w:w="108" w:type="dxa"/>
          </w:tblCellMar>
        </w:tblPrEx>
        <w:trPr>
          <w:trHeight w:val="1626" w:hRule="atLeast"/>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6951" w:type="dxa"/>
            <w:gridSpan w:val="5"/>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学院类别（单选）：综合、师范、民族院校（）</w:t>
            </w:r>
          </w:p>
          <w:p>
            <w:pPr>
              <w:widowControl/>
              <w:ind w:firstLine="2160" w:firstLineChars="900"/>
              <w:jc w:val="left"/>
              <w:rPr>
                <w:rFonts w:ascii="仿宋" w:hAnsi="仿宋" w:eastAsia="仿宋" w:cs="宋体"/>
                <w:kern w:val="0"/>
                <w:sz w:val="24"/>
              </w:rPr>
            </w:pPr>
            <w:r>
              <w:rPr>
                <w:rFonts w:hint="eastAsia" w:ascii="仿宋" w:hAnsi="仿宋" w:eastAsia="仿宋" w:cs="宋体"/>
                <w:kern w:val="0"/>
                <w:sz w:val="24"/>
              </w:rPr>
              <w:t>工科、农、林院校（</w:t>
            </w:r>
            <w:r>
              <w:rPr>
                <w:rFonts w:ascii="Arial" w:hAnsi="Arial" w:eastAsia="仿宋" w:cs="Arial"/>
                <w:kern w:val="0"/>
                <w:sz w:val="24"/>
              </w:rPr>
              <w:t>√</w:t>
            </w:r>
            <w:r>
              <w:rPr>
                <w:rFonts w:hint="eastAsia" w:ascii="仿宋" w:hAnsi="仿宋" w:eastAsia="仿宋" w:cs="宋体"/>
                <w:kern w:val="0"/>
                <w:sz w:val="24"/>
              </w:rPr>
              <w:t>）</w:t>
            </w:r>
          </w:p>
          <w:p>
            <w:pPr>
              <w:widowControl/>
              <w:ind w:firstLine="2160" w:firstLineChars="900"/>
              <w:jc w:val="left"/>
              <w:rPr>
                <w:rFonts w:ascii="仿宋" w:hAnsi="仿宋" w:eastAsia="仿宋" w:cs="宋体"/>
                <w:kern w:val="0"/>
                <w:sz w:val="24"/>
              </w:rPr>
            </w:pPr>
            <w:r>
              <w:rPr>
                <w:rFonts w:hint="eastAsia" w:ascii="仿宋" w:hAnsi="仿宋" w:eastAsia="仿宋" w:cs="宋体"/>
                <w:kern w:val="0"/>
                <w:sz w:val="24"/>
              </w:rPr>
              <w:t>医学院校（）</w:t>
            </w:r>
          </w:p>
          <w:p>
            <w:pPr>
              <w:widowControl/>
              <w:ind w:firstLine="2160" w:firstLineChars="900"/>
              <w:jc w:val="left"/>
              <w:rPr>
                <w:rFonts w:ascii="仿宋" w:hAnsi="仿宋" w:eastAsia="仿宋" w:cs="宋体"/>
                <w:kern w:val="0"/>
                <w:sz w:val="24"/>
              </w:rPr>
            </w:pPr>
            <w:r>
              <w:rPr>
                <w:rFonts w:hint="eastAsia" w:ascii="仿宋" w:hAnsi="仿宋" w:eastAsia="仿宋" w:cs="宋体"/>
                <w:kern w:val="0"/>
                <w:sz w:val="24"/>
              </w:rPr>
              <w:t>语文、财经、政法院校（ ）</w:t>
            </w:r>
          </w:p>
          <w:p>
            <w:pPr>
              <w:widowControl/>
              <w:ind w:firstLine="2160" w:firstLineChars="900"/>
              <w:jc w:val="left"/>
              <w:rPr>
                <w:rFonts w:ascii="仿宋" w:hAnsi="仿宋" w:eastAsia="仿宋" w:cs="宋体"/>
                <w:kern w:val="0"/>
                <w:sz w:val="24"/>
              </w:rPr>
            </w:pPr>
            <w:r>
              <w:rPr>
                <w:rFonts w:hint="eastAsia" w:ascii="仿宋" w:hAnsi="仿宋" w:eastAsia="仿宋" w:cs="宋体"/>
                <w:kern w:val="0"/>
                <w:sz w:val="24"/>
              </w:rPr>
              <w:t>体育院校（）</w:t>
            </w:r>
          </w:p>
          <w:p>
            <w:pPr>
              <w:widowControl/>
              <w:ind w:firstLine="2160" w:firstLineChars="900"/>
              <w:jc w:val="left"/>
              <w:rPr>
                <w:rFonts w:ascii="仿宋" w:hAnsi="仿宋" w:eastAsia="仿宋" w:cs="宋体"/>
                <w:kern w:val="0"/>
                <w:sz w:val="24"/>
              </w:rPr>
            </w:pPr>
            <w:r>
              <w:rPr>
                <w:rFonts w:hint="eastAsia" w:ascii="仿宋" w:hAnsi="仿宋" w:eastAsia="仿宋" w:cs="宋体"/>
                <w:kern w:val="0"/>
                <w:sz w:val="24"/>
              </w:rPr>
              <w:t>艺术院校（）</w:t>
            </w:r>
          </w:p>
        </w:tc>
      </w:tr>
    </w:tbl>
    <w:p>
      <w:pPr>
        <w:adjustRightInd w:val="0"/>
        <w:snapToGrid w:val="0"/>
        <w:spacing w:line="288" w:lineRule="auto"/>
        <w:rPr>
          <w:rFonts w:asciiTheme="minorEastAsia" w:hAnsiTheme="minorEastAsia" w:cstheme="minorEastAsia"/>
          <w:b/>
          <w:bCs/>
          <w:szCs w:val="21"/>
        </w:rPr>
      </w:pPr>
    </w:p>
    <w:p>
      <w:pPr>
        <w:adjustRightInd w:val="0"/>
        <w:snapToGrid w:val="0"/>
        <w:spacing w:line="288" w:lineRule="auto"/>
        <w:rPr>
          <w:rFonts w:asciiTheme="minorEastAsia" w:hAnsiTheme="minorEastAsia" w:cstheme="minorEastAsia"/>
          <w:b/>
          <w:bCs/>
          <w:szCs w:val="21"/>
        </w:rPr>
      </w:pPr>
      <w:r>
        <w:rPr>
          <w:rFonts w:hint="eastAsia" w:asciiTheme="minorEastAsia" w:hAnsiTheme="minorEastAsia" w:cstheme="minorEastAsia"/>
          <w:b/>
          <w:bCs/>
          <w:szCs w:val="21"/>
        </w:rPr>
        <w:t>“资源表”指标及相关内涵说明</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“资源表”系反映高职院校基本办学条件的管理评价工具。</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1.“生师比”=在校生数/教师总数。</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2.“双师素质专任教师比例”=双师素质专任教师人数/专任教师数。</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3.“生均教学科研仪器设备值”指学校教学仪器设备总资产值与在校生总数之比。教学仪器设备资产值是指学校固定资产中用于教学、实验、实习、科研等仪器设备的资产值。统计截止时点以财政年度为准。</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4.“生均教学及辅助、行政办公用房面积”指学校教学及辅助用房和行政办公用房总面积与全日制学历教育在校生总数之比。</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5.“生均校内实践教学工位数”=校内实践教学工位总数/在校生数。其中，工位数以“高等职业院校人才培养工作状态数据”填报数为准。</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6.“校园网主干最大带宽”指院校内部局域网络环境主干带宽，通常分为10 Mbps、100 Mbps、1000 Mbps、10000 Mbps。</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7.“教学计划内课程总数”指按照教学大纲要求开设的课程总量。其中，“线上开设课程数”指按照教学大纲要求，拥有数字化教学资源，通过学校网络教学平台开展授课、答疑、讨论以及提交作业和下载课件等基本教学活动的网络课程门数。建有课程网站但不完全符合上述条件的课程，不能计入线上开设课程。</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br w:type="page"/>
      </w:r>
    </w:p>
    <w:p>
      <w:pPr>
        <w:pStyle w:val="3"/>
        <w:jc w:val="center"/>
      </w:pPr>
      <w:bookmarkStart w:id="283" w:name="_Toc21754"/>
      <w:r>
        <w:rPr>
          <w:rFonts w:hint="eastAsia"/>
        </w:rPr>
        <w:t>表3 国际影响表</w:t>
      </w:r>
      <w:bookmarkEnd w:id="283"/>
    </w:p>
    <w:tbl>
      <w:tblPr>
        <w:tblStyle w:val="18"/>
        <w:tblW w:w="9447" w:type="dxa"/>
        <w:jc w:val="center"/>
        <w:tblInd w:w="-56" w:type="dxa"/>
        <w:tblLayout w:type="fixed"/>
        <w:tblCellMar>
          <w:top w:w="0" w:type="dxa"/>
          <w:left w:w="108" w:type="dxa"/>
          <w:bottom w:w="0" w:type="dxa"/>
          <w:right w:w="108" w:type="dxa"/>
        </w:tblCellMar>
      </w:tblPr>
      <w:tblGrid>
        <w:gridCol w:w="850"/>
        <w:gridCol w:w="794"/>
        <w:gridCol w:w="454"/>
        <w:gridCol w:w="2847"/>
        <w:gridCol w:w="745"/>
        <w:gridCol w:w="780"/>
        <w:gridCol w:w="709"/>
        <w:gridCol w:w="2268"/>
      </w:tblGrid>
      <w:tr>
        <w:tblPrEx>
          <w:tblLayout w:type="fixed"/>
          <w:tblCellMar>
            <w:top w:w="0" w:type="dxa"/>
            <w:left w:w="108" w:type="dxa"/>
            <w:bottom w:w="0" w:type="dxa"/>
            <w:right w:w="108" w:type="dxa"/>
          </w:tblCellMar>
        </w:tblPrEx>
        <w:trPr>
          <w:trHeight w:val="672"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院校代码</w:t>
            </w:r>
          </w:p>
        </w:tc>
        <w:tc>
          <w:tcPr>
            <w:tcW w:w="79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院校名称</w:t>
            </w:r>
          </w:p>
        </w:tc>
        <w:tc>
          <w:tcPr>
            <w:tcW w:w="3301" w:type="dxa"/>
            <w:gridSpan w:val="2"/>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指标</w:t>
            </w: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单位</w:t>
            </w:r>
          </w:p>
        </w:tc>
        <w:tc>
          <w:tcPr>
            <w:tcW w:w="78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6</w:t>
            </w:r>
            <w:r>
              <w:rPr>
                <w:rFonts w:hint="eastAsia" w:ascii="仿宋" w:hAnsi="仿宋" w:eastAsia="仿宋" w:cs="宋体"/>
                <w:b/>
                <w:bCs/>
                <w:kern w:val="0"/>
                <w:sz w:val="24"/>
              </w:rPr>
              <w:t>年</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7</w:t>
            </w:r>
            <w:r>
              <w:rPr>
                <w:rFonts w:hint="eastAsia" w:ascii="仿宋" w:hAnsi="仿宋" w:eastAsia="仿宋" w:cs="宋体"/>
                <w:b/>
                <w:bCs/>
                <w:kern w:val="0"/>
                <w:sz w:val="24"/>
              </w:rPr>
              <w:t>年</w:t>
            </w:r>
          </w:p>
        </w:tc>
        <w:tc>
          <w:tcPr>
            <w:tcW w:w="2268" w:type="dxa"/>
            <w:tcBorders>
              <w:top w:val="single" w:color="auto" w:sz="4" w:space="0"/>
              <w:left w:val="nil"/>
              <w:bottom w:val="single" w:color="auto" w:sz="4" w:space="0"/>
              <w:right w:val="single" w:color="auto" w:sz="4" w:space="0"/>
            </w:tcBorders>
          </w:tcPr>
          <w:p>
            <w:pPr>
              <w:widowControl/>
              <w:jc w:val="center"/>
              <w:rPr>
                <w:rFonts w:ascii="仿宋" w:hAnsi="仿宋" w:eastAsia="仿宋" w:cs="宋体"/>
                <w:b/>
                <w:bCs/>
                <w:kern w:val="0"/>
                <w:sz w:val="24"/>
              </w:rPr>
            </w:pPr>
            <w:r>
              <w:rPr>
                <w:rFonts w:hint="eastAsia" w:ascii="仿宋" w:hAnsi="仿宋" w:eastAsia="仿宋" w:cs="宋体"/>
                <w:b/>
                <w:bCs/>
                <w:kern w:val="0"/>
                <w:sz w:val="24"/>
              </w:rPr>
              <w:t>备注</w:t>
            </w:r>
          </w:p>
        </w:tc>
      </w:tr>
      <w:tr>
        <w:tblPrEx>
          <w:tblLayout w:type="fixed"/>
          <w:tblCellMar>
            <w:top w:w="0" w:type="dxa"/>
            <w:left w:w="108" w:type="dxa"/>
            <w:bottom w:w="0" w:type="dxa"/>
            <w:right w:w="108" w:type="dxa"/>
          </w:tblCellMar>
        </w:tblPrEx>
        <w:trPr>
          <w:trHeight w:val="456" w:hRule="atLeast"/>
          <w:jc w:val="center"/>
        </w:trPr>
        <w:tc>
          <w:tcPr>
            <w:tcW w:w="850"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13043</w:t>
            </w:r>
          </w:p>
        </w:tc>
        <w:tc>
          <w:tcPr>
            <w:tcW w:w="794"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湖南化工职业技术学院</w:t>
            </w: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全日制国（境）外留学生人数（一年以上）</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226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cs="宋体" w:asciiTheme="minorEastAsia" w:hAnsiTheme="minorEastAsia"/>
                <w:kern w:val="0"/>
                <w:sz w:val="24"/>
              </w:rPr>
              <w:t>——</w:t>
            </w: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非全日制国（境）外人员培训量</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人日</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226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cs="宋体" w:asciiTheme="minorEastAsia" w:hAnsiTheme="minorEastAsia"/>
                <w:kern w:val="0"/>
                <w:sz w:val="24"/>
              </w:rPr>
              <w:t>——</w:t>
            </w: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在校生服务“走出去”企业国（境）外实习时间</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人日</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405</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405</w:t>
            </w:r>
          </w:p>
        </w:tc>
        <w:tc>
          <w:tcPr>
            <w:tcW w:w="226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cs="宋体" w:asciiTheme="minorEastAsia" w:hAnsiTheme="minorEastAsia"/>
                <w:kern w:val="0"/>
                <w:sz w:val="24"/>
              </w:rPr>
              <w:t>——</w:t>
            </w: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专任教师赴国（境）外指导和开展培训时间</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人日</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360</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441</w:t>
            </w:r>
          </w:p>
        </w:tc>
        <w:tc>
          <w:tcPr>
            <w:tcW w:w="226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cs="宋体" w:asciiTheme="minorEastAsia" w:hAnsiTheme="minorEastAsia"/>
                <w:kern w:val="0"/>
                <w:sz w:val="24"/>
              </w:rPr>
              <w:t>——</w:t>
            </w: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5</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在国（境）外组织担任职务的专任教师人数</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2268" w:type="dxa"/>
            <w:tcBorders>
              <w:top w:val="nil"/>
              <w:left w:val="nil"/>
              <w:bottom w:val="single" w:color="auto" w:sz="4" w:space="0"/>
              <w:right w:val="single" w:color="auto" w:sz="4" w:space="0"/>
            </w:tcBorders>
          </w:tcPr>
          <w:p>
            <w:pPr>
              <w:widowControl/>
              <w:jc w:val="left"/>
              <w:rPr>
                <w:rFonts w:ascii="仿宋" w:hAnsi="仿宋" w:eastAsia="仿宋" w:cs="宋体"/>
                <w:kern w:val="0"/>
                <w:sz w:val="24"/>
              </w:rPr>
            </w:pP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6</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开发国（境）外认可的专业教学标准和课程标准数</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个</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w:t>
            </w:r>
          </w:p>
        </w:tc>
        <w:tc>
          <w:tcPr>
            <w:tcW w:w="2268" w:type="dxa"/>
            <w:tcBorders>
              <w:top w:val="nil"/>
              <w:left w:val="nil"/>
              <w:bottom w:val="single" w:color="auto" w:sz="4" w:space="0"/>
              <w:right w:val="single" w:color="auto" w:sz="4" w:space="0"/>
            </w:tcBorders>
          </w:tcPr>
          <w:p>
            <w:pPr>
              <w:widowControl/>
              <w:jc w:val="left"/>
              <w:rPr>
                <w:rFonts w:ascii="仿宋" w:hAnsi="仿宋" w:eastAsia="仿宋" w:cs="宋体"/>
                <w:kern w:val="0"/>
                <w:sz w:val="24"/>
              </w:rPr>
            </w:pPr>
            <w:r>
              <w:rPr>
                <w:rFonts w:hint="eastAsia" w:ascii="仿宋" w:hAnsi="仿宋" w:eastAsia="仿宋" w:cs="宋体"/>
                <w:kern w:val="0"/>
                <w:sz w:val="24"/>
              </w:rPr>
              <w:t>应用化工技术专业教学标准被埃塞俄比亚认可。</w:t>
            </w:r>
          </w:p>
        </w:tc>
      </w:tr>
      <w:tr>
        <w:tblPrEx>
          <w:tblLayout w:type="fixed"/>
          <w:tblCellMar>
            <w:top w:w="0" w:type="dxa"/>
            <w:left w:w="108" w:type="dxa"/>
            <w:bottom w:w="0" w:type="dxa"/>
            <w:right w:w="108" w:type="dxa"/>
          </w:tblCellMar>
        </w:tblPrEx>
        <w:trPr>
          <w:trHeight w:val="45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45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w:t>
            </w:r>
          </w:p>
        </w:tc>
        <w:tc>
          <w:tcPr>
            <w:tcW w:w="2847"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国（境）外技能大赛获奖数量</w:t>
            </w:r>
          </w:p>
        </w:tc>
        <w:tc>
          <w:tcPr>
            <w:tcW w:w="74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项</w:t>
            </w:r>
          </w:p>
        </w:tc>
        <w:tc>
          <w:tcPr>
            <w:tcW w:w="7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70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2268" w:type="dxa"/>
            <w:tcBorders>
              <w:top w:val="nil"/>
              <w:left w:val="nil"/>
              <w:bottom w:val="single" w:color="auto" w:sz="4" w:space="0"/>
              <w:right w:val="single" w:color="auto" w:sz="4" w:space="0"/>
            </w:tcBorders>
          </w:tcPr>
          <w:p>
            <w:pPr>
              <w:widowControl/>
              <w:jc w:val="left"/>
              <w:rPr>
                <w:rFonts w:ascii="仿宋" w:hAnsi="仿宋" w:eastAsia="仿宋" w:cs="宋体"/>
                <w:kern w:val="0"/>
                <w:sz w:val="24"/>
              </w:rPr>
            </w:pPr>
          </w:p>
        </w:tc>
      </w:tr>
    </w:tbl>
    <w:p>
      <w:pPr>
        <w:adjustRightInd w:val="0"/>
        <w:snapToGrid w:val="0"/>
        <w:spacing w:line="288" w:lineRule="auto"/>
        <w:rPr>
          <w:rFonts w:asciiTheme="minorEastAsia" w:hAnsiTheme="minorEastAsia" w:cstheme="minorEastAsia"/>
          <w:szCs w:val="21"/>
        </w:rPr>
      </w:pPr>
    </w:p>
    <w:p>
      <w:pPr>
        <w:adjustRightInd w:val="0"/>
        <w:snapToGrid w:val="0"/>
        <w:spacing w:line="288" w:lineRule="auto"/>
        <w:rPr>
          <w:rFonts w:asciiTheme="minorEastAsia" w:hAnsiTheme="minorEastAsia" w:cstheme="minorEastAsia"/>
          <w:b/>
          <w:bCs/>
          <w:szCs w:val="21"/>
        </w:rPr>
      </w:pPr>
      <w:r>
        <w:rPr>
          <w:rFonts w:hint="eastAsia" w:asciiTheme="minorEastAsia" w:hAnsiTheme="minorEastAsia" w:cstheme="minorEastAsia"/>
          <w:b/>
          <w:bCs/>
          <w:szCs w:val="21"/>
        </w:rPr>
        <w:t>“国际影响表”指标及相关内涵说明</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“国际影响表”系反映高职院校国际合作和发挥影响力的管理评价工具。</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1.“全日制国（境）外留学生人数（一年以上）”指学校接收一年以上全日制教育的国（境）外留学生总数。</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2.“非全日制国（境）外人员培训量”指学校对国（境）外人员开展的各类培训项目的人日总量。</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3.“在校生服务‘走出去’企业国（境）外实习时间”指在校学生服务中国企业到国（境）外进行专业实践教学的时间。</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4.“专任教师赴国（境）外指导和开展培训时间”指学校专任教师到国（境）外进行专业实践教学指导、培训人员、技术服务和研发的时间。</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5.“在国（境）外组织担任职务的专任教师人数”指在境外团体或国际机构中担任专职或兼职工作并具有一定影响的专任教师数量。须在备注中逐一列出，否则数据无效。</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6.“开发国（境）外认可的专业教学标准和课程标准数”指学校主持或参与开发与本校重点专业相关的专业教学标准和课程标准并得到国（境）外两个及以上国家（或地区）同行采用的数量。须在备注中逐一列出，否则数据无效。</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7.“国（境）外技能大赛获奖数量”指学校师生在与专业教学相关的国（境）外技能大赛中获得奖项的总个数，包括在国内举办的国际技能大赛上所获奖项。须在备注中逐一列出，否则数据无效。</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br w:type="page"/>
      </w:r>
    </w:p>
    <w:p>
      <w:pPr>
        <w:pStyle w:val="3"/>
        <w:jc w:val="center"/>
      </w:pPr>
      <w:bookmarkStart w:id="284" w:name="_Toc25601"/>
      <w:r>
        <w:rPr>
          <w:rFonts w:hint="eastAsia"/>
        </w:rPr>
        <w:t>表4 服务贡献表</w:t>
      </w:r>
      <w:bookmarkEnd w:id="284"/>
    </w:p>
    <w:tbl>
      <w:tblPr>
        <w:tblStyle w:val="18"/>
        <w:tblW w:w="9084" w:type="dxa"/>
        <w:jc w:val="center"/>
        <w:tblInd w:w="-102" w:type="dxa"/>
        <w:tblLayout w:type="fixed"/>
        <w:tblCellMar>
          <w:top w:w="0" w:type="dxa"/>
          <w:left w:w="108" w:type="dxa"/>
          <w:bottom w:w="0" w:type="dxa"/>
          <w:right w:w="108" w:type="dxa"/>
        </w:tblCellMar>
      </w:tblPr>
      <w:tblGrid>
        <w:gridCol w:w="900"/>
        <w:gridCol w:w="799"/>
        <w:gridCol w:w="453"/>
        <w:gridCol w:w="3683"/>
        <w:gridCol w:w="1135"/>
        <w:gridCol w:w="993"/>
        <w:gridCol w:w="1121"/>
      </w:tblGrid>
      <w:tr>
        <w:tblPrEx>
          <w:tblLayout w:type="fixed"/>
          <w:tblCellMar>
            <w:top w:w="0" w:type="dxa"/>
            <w:left w:w="108" w:type="dxa"/>
            <w:bottom w:w="0" w:type="dxa"/>
            <w:right w:w="108" w:type="dxa"/>
          </w:tblCellMar>
        </w:tblPrEx>
        <w:trPr>
          <w:trHeight w:val="420" w:hRule="atLeast"/>
          <w:jc w:val="center"/>
        </w:trPr>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b/>
                <w:bCs/>
                <w:kern w:val="0"/>
                <w:sz w:val="24"/>
              </w:rPr>
            </w:pPr>
            <w:r>
              <w:rPr>
                <w:rFonts w:hint="eastAsia" w:ascii="仿宋" w:hAnsi="仿宋" w:eastAsia="仿宋" w:cs="宋体"/>
                <w:b/>
                <w:bCs/>
                <w:kern w:val="0"/>
                <w:sz w:val="24"/>
              </w:rPr>
              <w:t>院校代码</w:t>
            </w:r>
          </w:p>
        </w:tc>
        <w:tc>
          <w:tcPr>
            <w:tcW w:w="79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b/>
                <w:bCs/>
                <w:kern w:val="0"/>
                <w:sz w:val="24"/>
              </w:rPr>
            </w:pPr>
            <w:r>
              <w:rPr>
                <w:rFonts w:hint="eastAsia" w:ascii="仿宋" w:hAnsi="仿宋" w:eastAsia="仿宋" w:cs="宋体"/>
                <w:b/>
                <w:bCs/>
                <w:kern w:val="0"/>
                <w:sz w:val="24"/>
              </w:rPr>
              <w:t>院校名称</w:t>
            </w:r>
          </w:p>
        </w:tc>
        <w:tc>
          <w:tcPr>
            <w:tcW w:w="413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指标</w:t>
            </w:r>
          </w:p>
        </w:tc>
        <w:tc>
          <w:tcPr>
            <w:tcW w:w="113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单位</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2016年</w:t>
            </w:r>
          </w:p>
        </w:tc>
        <w:tc>
          <w:tcPr>
            <w:tcW w:w="112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2017年</w:t>
            </w:r>
          </w:p>
        </w:tc>
      </w:tr>
      <w:tr>
        <w:tblPrEx>
          <w:tblLayout w:type="fixed"/>
          <w:tblCellMar>
            <w:top w:w="0" w:type="dxa"/>
            <w:left w:w="108" w:type="dxa"/>
            <w:bottom w:w="0" w:type="dxa"/>
            <w:right w:w="108" w:type="dxa"/>
          </w:tblCellMar>
        </w:tblPrEx>
        <w:trPr>
          <w:trHeight w:val="420" w:hRule="atLeast"/>
          <w:jc w:val="center"/>
        </w:trPr>
        <w:tc>
          <w:tcPr>
            <w:tcW w:w="900" w:type="dxa"/>
            <w:vMerge w:val="restart"/>
            <w:tcBorders>
              <w:top w:val="single" w:color="auto" w:sz="4" w:space="0"/>
              <w:left w:val="single" w:color="auto" w:sz="4" w:space="0"/>
              <w:right w:val="single" w:color="auto" w:sz="4" w:space="0"/>
            </w:tcBorders>
            <w:shd w:val="clear" w:color="000000" w:fill="FFFFFF"/>
            <w:vAlign w:val="center"/>
          </w:tcPr>
          <w:p>
            <w:pPr>
              <w:jc w:val="center"/>
              <w:rPr>
                <w:rFonts w:ascii="仿宋" w:hAnsi="仿宋" w:eastAsia="仿宋" w:cs="宋体"/>
                <w:kern w:val="0"/>
                <w:sz w:val="24"/>
              </w:rPr>
            </w:pPr>
            <w:r>
              <w:rPr>
                <w:rFonts w:hint="eastAsia" w:ascii="仿宋" w:hAnsi="仿宋" w:eastAsia="仿宋" w:cs="宋体"/>
                <w:kern w:val="0"/>
                <w:sz w:val="24"/>
              </w:rPr>
              <w:t>13043</w:t>
            </w:r>
          </w:p>
        </w:tc>
        <w:tc>
          <w:tcPr>
            <w:tcW w:w="799" w:type="dxa"/>
            <w:vMerge w:val="restart"/>
            <w:tcBorders>
              <w:top w:val="single" w:color="auto" w:sz="4" w:space="0"/>
              <w:left w:val="single" w:color="auto" w:sz="4" w:space="0"/>
              <w:right w:val="single" w:color="auto" w:sz="4" w:space="0"/>
            </w:tcBorders>
            <w:shd w:val="clear" w:color="000000" w:fill="FFFFFF"/>
            <w:vAlign w:val="center"/>
          </w:tcPr>
          <w:p>
            <w:pPr>
              <w:jc w:val="center"/>
              <w:rPr>
                <w:rFonts w:ascii="仿宋" w:hAnsi="仿宋" w:eastAsia="仿宋" w:cs="宋体"/>
                <w:kern w:val="0"/>
                <w:sz w:val="24"/>
              </w:rPr>
            </w:pPr>
            <w:r>
              <w:rPr>
                <w:rFonts w:hint="eastAsia" w:ascii="仿宋" w:hAnsi="仿宋" w:eastAsia="仿宋" w:cs="宋体"/>
                <w:kern w:val="0"/>
                <w:sz w:val="24"/>
              </w:rPr>
              <w:t>湖南化工职业技术学院</w:t>
            </w:r>
          </w:p>
        </w:tc>
        <w:tc>
          <w:tcPr>
            <w:tcW w:w="453" w:type="dxa"/>
            <w:vMerge w:val="restart"/>
            <w:tcBorders>
              <w:top w:val="single" w:color="auto" w:sz="4" w:space="0"/>
              <w:left w:val="single" w:color="auto" w:sz="4" w:space="0"/>
              <w:right w:val="single" w:color="auto" w:sz="4" w:space="0"/>
            </w:tcBorders>
            <w:shd w:val="clear" w:color="000000" w:fill="FFFFFF"/>
            <w:vAlign w:val="center"/>
          </w:tcPr>
          <w:p>
            <w:pPr>
              <w:jc w:val="center"/>
              <w:rPr>
                <w:rFonts w:ascii="仿宋" w:hAnsi="仿宋" w:eastAsia="仿宋" w:cs="宋体"/>
                <w:kern w:val="0"/>
                <w:sz w:val="24"/>
              </w:rPr>
            </w:pPr>
            <w:r>
              <w:rPr>
                <w:rFonts w:hint="eastAsia" w:ascii="仿宋" w:hAnsi="仿宋" w:eastAsia="仿宋" w:cs="宋体"/>
                <w:kern w:val="0"/>
                <w:sz w:val="24"/>
              </w:rPr>
              <w:t>1</w:t>
            </w:r>
          </w:p>
        </w:tc>
        <w:tc>
          <w:tcPr>
            <w:tcW w:w="3683"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全日制在校生人数</w:t>
            </w:r>
          </w:p>
        </w:tc>
        <w:tc>
          <w:tcPr>
            <w:tcW w:w="113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r>
              <w:rPr>
                <w:rFonts w:hint="eastAsia" w:ascii="仿宋" w:hAnsi="仿宋" w:eastAsia="仿宋" w:cs="宋体"/>
                <w:kern w:val="0"/>
                <w:sz w:val="24"/>
              </w:rPr>
              <w:t>8005</w:t>
            </w:r>
          </w:p>
        </w:tc>
        <w:tc>
          <w:tcPr>
            <w:tcW w:w="112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r>
              <w:rPr>
                <w:rFonts w:hint="eastAsia" w:ascii="仿宋" w:hAnsi="仿宋" w:eastAsia="仿宋" w:cs="宋体"/>
                <w:kern w:val="0"/>
                <w:sz w:val="24"/>
              </w:rPr>
              <w:t>9511</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p>
        </w:tc>
        <w:tc>
          <w:tcPr>
            <w:tcW w:w="799" w:type="dxa"/>
            <w:vMerge w:val="continue"/>
            <w:tcBorders>
              <w:left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p>
        </w:tc>
        <w:tc>
          <w:tcPr>
            <w:tcW w:w="453" w:type="dxa"/>
            <w:vMerge w:val="continue"/>
            <w:tcBorders>
              <w:left w:val="single" w:color="auto" w:sz="4" w:space="0"/>
              <w:right w:val="single" w:color="auto" w:sz="4" w:space="0"/>
            </w:tcBorders>
            <w:shd w:val="clear" w:color="000000" w:fill="FFFFFF"/>
            <w:vAlign w:val="center"/>
          </w:tcPr>
          <w:p>
            <w:pPr>
              <w:widowControl/>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毕业生人数</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r>
              <w:rPr>
                <w:rFonts w:hint="eastAsia" w:ascii="仿宋" w:hAnsi="仿宋" w:eastAsia="仿宋" w:cs="宋体"/>
                <w:kern w:val="0"/>
                <w:sz w:val="24"/>
              </w:rPr>
              <w:t>1993</w:t>
            </w:r>
          </w:p>
        </w:tc>
        <w:tc>
          <w:tcPr>
            <w:tcW w:w="112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4"/>
              </w:rPr>
            </w:pPr>
            <w:r>
              <w:rPr>
                <w:rFonts w:hint="eastAsia" w:ascii="仿宋" w:hAnsi="仿宋" w:eastAsia="仿宋" w:cs="宋体"/>
                <w:kern w:val="0"/>
                <w:sz w:val="24"/>
              </w:rPr>
              <w:t>2478</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仿宋" w:hAnsi="仿宋" w:eastAsia="仿宋" w:cs="宋体"/>
                <w:kern w:val="0"/>
                <w:sz w:val="24"/>
              </w:rPr>
            </w:pPr>
            <w:r>
              <w:rPr>
                <w:rFonts w:hint="eastAsia" w:ascii="仿宋" w:hAnsi="仿宋" w:eastAsia="仿宋" w:cs="宋体"/>
                <w:kern w:val="0"/>
                <w:sz w:val="24"/>
              </w:rPr>
              <w:t>其中：就业人数</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1856</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2425</w:t>
            </w:r>
          </w:p>
        </w:tc>
      </w:tr>
      <w:tr>
        <w:tblPrEx>
          <w:tblLayout w:type="fixed"/>
          <w:tblCellMar>
            <w:top w:w="0" w:type="dxa"/>
            <w:left w:w="108" w:type="dxa"/>
            <w:bottom w:w="0" w:type="dxa"/>
            <w:right w:w="108" w:type="dxa"/>
          </w:tblCellMar>
        </w:tblPrEx>
        <w:trPr>
          <w:trHeight w:val="480" w:hRule="atLeast"/>
          <w:jc w:val="center"/>
        </w:trPr>
        <w:tc>
          <w:tcPr>
            <w:tcW w:w="90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毕业生就业去向：</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ascii="仿宋" w:hAnsi="仿宋" w:eastAsia="仿宋" w:cs="宋体"/>
                <w:kern w:val="0"/>
                <w:sz w:val="24"/>
              </w:rPr>
              <w:t>A类:留在当地就业人数</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835</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1142</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 xml:space="preserve">  B类:到中小微企业等基层服务人数</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1179</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1214</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 xml:space="preserve">  C类:到5</w:t>
            </w:r>
            <w:r>
              <w:rPr>
                <w:rFonts w:ascii="仿宋" w:hAnsi="仿宋" w:eastAsia="仿宋" w:cs="宋体"/>
                <w:kern w:val="0"/>
                <w:sz w:val="24"/>
              </w:rPr>
              <w:t>00强</w:t>
            </w:r>
            <w:r>
              <w:rPr>
                <w:rFonts w:hint="eastAsia" w:ascii="仿宋" w:hAnsi="仿宋" w:eastAsia="仿宋" w:cs="宋体"/>
                <w:kern w:val="0"/>
                <w:sz w:val="24"/>
              </w:rPr>
              <w:t>企业就业人数</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763</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1079</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2</w:t>
            </w: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横向技术服务到款额</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万元</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58.8</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157</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3</w:t>
            </w: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纵向科研经费到款额</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万元</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197.2</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75.5</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4</w:t>
            </w: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技术交易到款额</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万元</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5</w:t>
            </w: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非学历培训到款额</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万元</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521.9</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873.27</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4"/>
              </w:rPr>
            </w:pPr>
          </w:p>
        </w:tc>
        <w:tc>
          <w:tcPr>
            <w:tcW w:w="45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6</w:t>
            </w:r>
          </w:p>
        </w:tc>
        <w:tc>
          <w:tcPr>
            <w:tcW w:w="3683"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公益性培训服务</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人日</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1431</w:t>
            </w:r>
          </w:p>
        </w:tc>
        <w:tc>
          <w:tcPr>
            <w:tcW w:w="112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10373</w:t>
            </w:r>
          </w:p>
        </w:tc>
      </w:tr>
      <w:tr>
        <w:tblPrEx>
          <w:tblLayout w:type="fixed"/>
          <w:tblCellMar>
            <w:top w:w="0" w:type="dxa"/>
            <w:left w:w="108" w:type="dxa"/>
            <w:bottom w:w="0" w:type="dxa"/>
            <w:right w:w="108" w:type="dxa"/>
          </w:tblCellMar>
        </w:tblPrEx>
        <w:trPr>
          <w:trHeight w:val="420" w:hRule="atLeast"/>
          <w:jc w:val="center"/>
        </w:trPr>
        <w:tc>
          <w:tcPr>
            <w:tcW w:w="900"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99"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7385" w:type="dxa"/>
            <w:gridSpan w:val="5"/>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 w:val="24"/>
              </w:rPr>
            </w:pPr>
            <w:r>
              <w:rPr>
                <w:rFonts w:hint="eastAsia" w:ascii="仿宋" w:hAnsi="仿宋" w:eastAsia="仿宋" w:cs="宋体"/>
                <w:kern w:val="0"/>
                <w:sz w:val="24"/>
              </w:rPr>
              <w:t>主要办学经费来源（单选）：省级（</w:t>
            </w:r>
            <w:r>
              <w:rPr>
                <w:rFonts w:ascii="Arial" w:hAnsi="Arial" w:eastAsia="仿宋" w:cs="Arial"/>
                <w:kern w:val="0"/>
                <w:sz w:val="24"/>
              </w:rPr>
              <w:t>√</w:t>
            </w:r>
            <w:r>
              <w:rPr>
                <w:rFonts w:hint="eastAsia" w:ascii="仿宋" w:hAnsi="仿宋" w:eastAsia="仿宋" w:cs="宋体"/>
                <w:kern w:val="0"/>
                <w:sz w:val="24"/>
              </w:rPr>
              <w:t>）   地市级（）</w:t>
            </w:r>
          </w:p>
          <w:p>
            <w:pPr>
              <w:widowControl/>
              <w:ind w:firstLine="3120" w:firstLineChars="1300"/>
              <w:jc w:val="left"/>
              <w:rPr>
                <w:rFonts w:ascii="仿宋" w:hAnsi="仿宋" w:eastAsia="仿宋" w:cs="宋体"/>
                <w:kern w:val="0"/>
                <w:sz w:val="24"/>
              </w:rPr>
            </w:pPr>
            <w:r>
              <w:rPr>
                <w:rFonts w:hint="eastAsia" w:ascii="仿宋" w:hAnsi="仿宋" w:eastAsia="仿宋" w:cs="宋体"/>
                <w:kern w:val="0"/>
                <w:sz w:val="24"/>
              </w:rPr>
              <w:t>行业或企业（）   其他（）</w:t>
            </w:r>
          </w:p>
        </w:tc>
      </w:tr>
    </w:tbl>
    <w:p>
      <w:pPr>
        <w:adjustRightInd w:val="0"/>
        <w:snapToGrid w:val="0"/>
        <w:spacing w:line="288" w:lineRule="auto"/>
        <w:rPr>
          <w:rFonts w:asciiTheme="minorEastAsia" w:hAnsiTheme="minorEastAsia" w:cstheme="minorEastAsia"/>
          <w:b/>
          <w:bCs/>
          <w:szCs w:val="21"/>
        </w:rPr>
      </w:pPr>
      <w:r>
        <w:rPr>
          <w:rFonts w:hint="eastAsia" w:asciiTheme="minorEastAsia" w:hAnsiTheme="minorEastAsia" w:cstheme="minorEastAsia"/>
          <w:b/>
          <w:bCs/>
          <w:szCs w:val="21"/>
        </w:rPr>
        <w:t>“服务贡献表”指标及相关内涵说明</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“服务贡献表”系反映高职院校服务地方和行业发展的管理评价工具。</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1.毕业生就业去向分为三类：A类是毕业生留在当地（公办学校：如省级财政投入经费的以省域为“当地”，地级财政投入经费的以地级市域为“当地”，以此类推；民办学校：以学校所在地为“当地”；如有异地校区则分别统计）就业人数；B类是毕业生到中小微企业（具体标准参见《关于印发中小企业划型标准规定的通知》（工信部联企业〔2011〕300号））服务人数；C类是毕业生到500强企业（指在过去5年曾经是世界500强或中国企业500强的企业）就业人数。各高职院校根据实际分别填写以上三类，各地在本省质量年报中可汇总分析以上三类情况。</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2.“横向技术服务到款额”指以学校名义与自然人、法人、其他组织签订的技术开发、技术服务、技术咨询、技术转让等技术合同所涉及的经费；国际科技合作项目中与境外企业、个人合作经费及科技捐赠项目经费。统计截止时点以财政年度为准。</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3.“纵向科研经费到款额”指通过承担</w:t>
      </w:r>
      <w:r>
        <w:fldChar w:fldCharType="begin"/>
      </w:r>
      <w:r>
        <w:instrText xml:space="preserve"> HYPERLINK "http://wiki.mbalib.com/wiki/%E5%9B%BD%E5%AE%B6" \o "国家" </w:instrText>
      </w:r>
      <w:r>
        <w:fldChar w:fldCharType="separate"/>
      </w:r>
      <w:r>
        <w:rPr>
          <w:rFonts w:hint="eastAsia" w:asciiTheme="minorEastAsia" w:hAnsiTheme="minorEastAsia" w:cstheme="minorEastAsia"/>
          <w:szCs w:val="21"/>
        </w:rPr>
        <w:t>国家</w:t>
      </w:r>
      <w:r>
        <w:rPr>
          <w:rFonts w:hint="eastAsia" w:asciiTheme="minorEastAsia" w:hAnsiTheme="minorEastAsia" w:cstheme="minorEastAsia"/>
          <w:szCs w:val="21"/>
        </w:rPr>
        <w:fldChar w:fldCharType="end"/>
      </w:r>
      <w:r>
        <w:rPr>
          <w:rFonts w:hint="eastAsia" w:asciiTheme="minorEastAsia" w:hAnsiTheme="minorEastAsia" w:cstheme="minorEastAsia"/>
          <w:szCs w:val="21"/>
        </w:rPr>
        <w:t>、地方政府常设的</w:t>
      </w:r>
      <w:r>
        <w:fldChar w:fldCharType="begin"/>
      </w:r>
      <w:r>
        <w:instrText xml:space="preserve"> HYPERLINK "http://wiki.mbalib.com/wiki/%E8%AE%A1%E5%88%92" \o "计划" </w:instrText>
      </w:r>
      <w:r>
        <w:fldChar w:fldCharType="separate"/>
      </w:r>
      <w:r>
        <w:rPr>
          <w:rFonts w:hint="eastAsia" w:asciiTheme="minorEastAsia" w:hAnsiTheme="minorEastAsia" w:cstheme="minorEastAsia"/>
          <w:szCs w:val="21"/>
        </w:rPr>
        <w:t>计划</w:t>
      </w:r>
      <w:r>
        <w:rPr>
          <w:rFonts w:hint="eastAsia" w:asciiTheme="minorEastAsia" w:hAnsiTheme="minorEastAsia" w:cstheme="minorEastAsia"/>
          <w:szCs w:val="21"/>
        </w:rPr>
        <w:fldChar w:fldCharType="end"/>
      </w:r>
      <w:r>
        <w:fldChar w:fldCharType="begin"/>
      </w:r>
      <w:r>
        <w:instrText xml:space="preserve"> HYPERLINK "http://wiki.mbalib.com/wiki/%E9%A1%B9%E7%9B%AE" \o "项目" </w:instrText>
      </w:r>
      <w:r>
        <w:fldChar w:fldCharType="separate"/>
      </w:r>
      <w:r>
        <w:rPr>
          <w:rFonts w:hint="eastAsia" w:asciiTheme="minorEastAsia" w:hAnsiTheme="minorEastAsia" w:cstheme="minorEastAsia"/>
          <w:szCs w:val="21"/>
        </w:rPr>
        <w:t>项目</w:t>
      </w:r>
      <w:r>
        <w:rPr>
          <w:rFonts w:hint="eastAsia" w:asciiTheme="minorEastAsia" w:hAnsiTheme="minorEastAsia" w:cstheme="minorEastAsia"/>
          <w:szCs w:val="21"/>
        </w:rPr>
        <w:fldChar w:fldCharType="end"/>
      </w:r>
      <w:r>
        <w:rPr>
          <w:rFonts w:hint="eastAsia" w:asciiTheme="minorEastAsia" w:hAnsiTheme="minorEastAsia" w:cstheme="minorEastAsia"/>
          <w:szCs w:val="21"/>
        </w:rPr>
        <w:t>或专项项目取得的科研项目经费。统计截止时点以财政年度为准。</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4.“技术交易到款额”指政府或企业通过技术市场购买院校的专利和技术成果、购买技术转让、委托技术研发等支付到账的费用。统计截止时点以财政年度为准。</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5.“非学历培训到款额”指为社会进行的非学历性培训已到账的收入。统计截止时点以财政年度为准。</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t>6.“公益性培训服务”指为社会进行的免费培训的规模。</w:t>
      </w:r>
    </w:p>
    <w:p>
      <w:pPr>
        <w:adjustRightInd w:val="0"/>
        <w:snapToGrid w:val="0"/>
        <w:spacing w:line="288" w:lineRule="auto"/>
        <w:rPr>
          <w:rFonts w:asciiTheme="minorEastAsia" w:hAnsiTheme="minorEastAsia" w:cstheme="minorEastAsia"/>
          <w:szCs w:val="21"/>
        </w:rPr>
      </w:pPr>
      <w:r>
        <w:rPr>
          <w:rFonts w:hint="eastAsia" w:asciiTheme="minorEastAsia" w:hAnsiTheme="minorEastAsia" w:cstheme="minorEastAsia"/>
          <w:szCs w:val="21"/>
        </w:rPr>
        <w:br w:type="page"/>
      </w:r>
    </w:p>
    <w:p>
      <w:pPr>
        <w:pStyle w:val="3"/>
        <w:jc w:val="center"/>
      </w:pPr>
      <w:bookmarkStart w:id="285" w:name="_Toc11876"/>
      <w:r>
        <w:rPr>
          <w:rFonts w:hint="eastAsia"/>
        </w:rPr>
        <w:t>表5 落实政策表</w:t>
      </w:r>
      <w:bookmarkEnd w:id="285"/>
    </w:p>
    <w:tbl>
      <w:tblPr>
        <w:tblStyle w:val="18"/>
        <w:tblW w:w="9324" w:type="dxa"/>
        <w:jc w:val="center"/>
        <w:tblInd w:w="94" w:type="dxa"/>
        <w:tblLayout w:type="fixed"/>
        <w:tblCellMar>
          <w:top w:w="0" w:type="dxa"/>
          <w:left w:w="108" w:type="dxa"/>
          <w:bottom w:w="0" w:type="dxa"/>
          <w:right w:w="108" w:type="dxa"/>
        </w:tblCellMar>
      </w:tblPr>
      <w:tblGrid>
        <w:gridCol w:w="851"/>
        <w:gridCol w:w="852"/>
        <w:gridCol w:w="425"/>
        <w:gridCol w:w="3832"/>
        <w:gridCol w:w="996"/>
        <w:gridCol w:w="1149"/>
        <w:gridCol w:w="1219"/>
      </w:tblGrid>
      <w:tr>
        <w:tblPrEx>
          <w:tblLayout w:type="fixed"/>
          <w:tblCellMar>
            <w:top w:w="0" w:type="dxa"/>
            <w:left w:w="108" w:type="dxa"/>
            <w:bottom w:w="0" w:type="dxa"/>
            <w:right w:w="108" w:type="dxa"/>
          </w:tblCellMar>
        </w:tblPrEx>
        <w:trPr>
          <w:trHeight w:val="480" w:hRule="atLeast"/>
          <w:jc w:val="center"/>
        </w:trPr>
        <w:tc>
          <w:tcPr>
            <w:tcW w:w="851"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76" w:lineRule="auto"/>
              <w:jc w:val="center"/>
              <w:rPr>
                <w:rFonts w:ascii="仿宋" w:hAnsi="仿宋" w:eastAsia="仿宋" w:cs="宋体"/>
                <w:b/>
                <w:bCs/>
                <w:kern w:val="0"/>
                <w:sz w:val="24"/>
              </w:rPr>
            </w:pPr>
            <w:r>
              <w:rPr>
                <w:rFonts w:hint="eastAsia" w:ascii="仿宋" w:hAnsi="仿宋" w:eastAsia="仿宋" w:cs="宋体"/>
                <w:b/>
                <w:bCs/>
                <w:kern w:val="0"/>
                <w:sz w:val="24"/>
              </w:rPr>
              <w:t>院校代码</w:t>
            </w:r>
          </w:p>
        </w:tc>
        <w:tc>
          <w:tcPr>
            <w:tcW w:w="852" w:type="dxa"/>
            <w:tcBorders>
              <w:top w:val="single" w:color="auto" w:sz="4" w:space="0"/>
              <w:left w:val="nil"/>
              <w:bottom w:val="single" w:color="auto" w:sz="4" w:space="0"/>
              <w:right w:val="single" w:color="auto" w:sz="4" w:space="0"/>
            </w:tcBorders>
            <w:shd w:val="clear" w:color="000000" w:fill="FFFFFF"/>
            <w:vAlign w:val="center"/>
          </w:tcPr>
          <w:p>
            <w:pPr>
              <w:widowControl/>
              <w:spacing w:line="276" w:lineRule="auto"/>
              <w:jc w:val="center"/>
              <w:rPr>
                <w:rFonts w:ascii="仿宋" w:hAnsi="仿宋" w:eastAsia="仿宋" w:cs="宋体"/>
                <w:b/>
                <w:bCs/>
                <w:kern w:val="0"/>
                <w:sz w:val="24"/>
              </w:rPr>
            </w:pPr>
            <w:r>
              <w:rPr>
                <w:rFonts w:hint="eastAsia" w:ascii="仿宋" w:hAnsi="仿宋" w:eastAsia="仿宋" w:cs="宋体"/>
                <w:b/>
                <w:bCs/>
                <w:kern w:val="0"/>
                <w:sz w:val="24"/>
              </w:rPr>
              <w:t>院校名称</w:t>
            </w:r>
          </w:p>
        </w:tc>
        <w:tc>
          <w:tcPr>
            <w:tcW w:w="4257" w:type="dxa"/>
            <w:gridSpan w:val="2"/>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kern w:val="0"/>
                <w:sz w:val="24"/>
              </w:rPr>
            </w:pPr>
            <w:r>
              <w:rPr>
                <w:rFonts w:hint="eastAsia" w:ascii="仿宋" w:hAnsi="仿宋" w:eastAsia="仿宋" w:cs="宋体"/>
                <w:b/>
                <w:bCs/>
                <w:kern w:val="0"/>
                <w:sz w:val="24"/>
              </w:rPr>
              <w:t>指标</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kern w:val="0"/>
                <w:sz w:val="24"/>
              </w:rPr>
            </w:pPr>
            <w:r>
              <w:rPr>
                <w:rFonts w:hint="eastAsia" w:ascii="仿宋" w:hAnsi="仿宋" w:eastAsia="仿宋" w:cs="宋体"/>
                <w:b/>
                <w:bCs/>
                <w:kern w:val="0"/>
                <w:sz w:val="24"/>
              </w:rPr>
              <w:t>单位</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6</w:t>
            </w:r>
            <w:r>
              <w:rPr>
                <w:rFonts w:hint="eastAsia" w:ascii="仿宋" w:hAnsi="仿宋" w:eastAsia="仿宋" w:cs="宋体"/>
                <w:b/>
                <w:bCs/>
                <w:kern w:val="0"/>
                <w:sz w:val="24"/>
              </w:rPr>
              <w:t>年</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kern w:val="0"/>
                <w:sz w:val="24"/>
              </w:rPr>
            </w:pPr>
            <w:r>
              <w:rPr>
                <w:rFonts w:hint="eastAsia" w:ascii="仿宋" w:hAnsi="仿宋" w:eastAsia="仿宋" w:cs="宋体"/>
                <w:b/>
                <w:bCs/>
                <w:kern w:val="0"/>
                <w:sz w:val="24"/>
              </w:rPr>
              <w:t>201</w:t>
            </w:r>
            <w:r>
              <w:rPr>
                <w:rFonts w:ascii="仿宋" w:hAnsi="仿宋" w:eastAsia="仿宋" w:cs="宋体"/>
                <w:b/>
                <w:bCs/>
                <w:kern w:val="0"/>
                <w:sz w:val="24"/>
              </w:rPr>
              <w:t>7</w:t>
            </w:r>
            <w:r>
              <w:rPr>
                <w:rFonts w:hint="eastAsia" w:ascii="仿宋" w:hAnsi="仿宋" w:eastAsia="仿宋" w:cs="宋体"/>
                <w:b/>
                <w:bCs/>
                <w:kern w:val="0"/>
                <w:sz w:val="24"/>
              </w:rPr>
              <w:t>年</w:t>
            </w:r>
          </w:p>
        </w:tc>
      </w:tr>
      <w:tr>
        <w:tblPrEx>
          <w:tblLayout w:type="fixed"/>
          <w:tblCellMar>
            <w:top w:w="0" w:type="dxa"/>
            <w:left w:w="108" w:type="dxa"/>
            <w:bottom w:w="0" w:type="dxa"/>
            <w:right w:w="108" w:type="dxa"/>
          </w:tblCellMar>
        </w:tblPrEx>
        <w:trPr>
          <w:trHeight w:val="390" w:hRule="atLeast"/>
          <w:jc w:val="center"/>
        </w:trPr>
        <w:tc>
          <w:tcPr>
            <w:tcW w:w="851" w:type="dxa"/>
            <w:vMerge w:val="restart"/>
            <w:tcBorders>
              <w:top w:val="single" w:color="auto" w:sz="4" w:space="0"/>
              <w:left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13043</w:t>
            </w:r>
          </w:p>
        </w:tc>
        <w:tc>
          <w:tcPr>
            <w:tcW w:w="852" w:type="dxa"/>
            <w:vMerge w:val="restart"/>
            <w:tcBorders>
              <w:top w:val="single" w:color="auto" w:sz="4" w:space="0"/>
              <w:left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湖南化工职业技术学院</w:t>
            </w:r>
          </w:p>
        </w:tc>
        <w:tc>
          <w:tcPr>
            <w:tcW w:w="425" w:type="dxa"/>
            <w:vMerge w:val="restart"/>
            <w:tcBorders>
              <w:top w:val="nil"/>
              <w:left w:val="nil"/>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1</w:t>
            </w:r>
          </w:p>
        </w:tc>
        <w:tc>
          <w:tcPr>
            <w:tcW w:w="3832"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年生均财政拨款水平</w:t>
            </w:r>
          </w:p>
        </w:tc>
        <w:tc>
          <w:tcPr>
            <w:tcW w:w="99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9173</w:t>
            </w:r>
          </w:p>
        </w:tc>
        <w:tc>
          <w:tcPr>
            <w:tcW w:w="121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12262</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p>
        </w:tc>
        <w:tc>
          <w:tcPr>
            <w:tcW w:w="3832" w:type="dxa"/>
            <w:tcBorders>
              <w:top w:val="nil"/>
              <w:left w:val="nil"/>
              <w:bottom w:val="single" w:color="auto" w:sz="4" w:space="0"/>
              <w:right w:val="single" w:color="auto" w:sz="4" w:space="0"/>
            </w:tcBorders>
            <w:shd w:val="clear" w:color="auto" w:fill="auto"/>
            <w:vAlign w:val="center"/>
          </w:tcPr>
          <w:p>
            <w:pPr>
              <w:widowControl/>
              <w:spacing w:line="360" w:lineRule="auto"/>
              <w:ind w:firstLine="240" w:firstLineChars="100"/>
              <w:jc w:val="left"/>
              <w:rPr>
                <w:rFonts w:ascii="仿宋" w:hAnsi="仿宋" w:eastAsia="仿宋" w:cs="宋体"/>
                <w:kern w:val="0"/>
                <w:sz w:val="24"/>
              </w:rPr>
            </w:pPr>
            <w:r>
              <w:rPr>
                <w:rFonts w:hint="eastAsia" w:ascii="仿宋" w:hAnsi="仿宋" w:eastAsia="仿宋" w:cs="宋体"/>
                <w:kern w:val="0"/>
                <w:sz w:val="24"/>
              </w:rPr>
              <w:t>其中：年生均财政专项经费</w:t>
            </w:r>
          </w:p>
        </w:tc>
        <w:tc>
          <w:tcPr>
            <w:tcW w:w="99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1068</w:t>
            </w:r>
          </w:p>
        </w:tc>
        <w:tc>
          <w:tcPr>
            <w:tcW w:w="121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2084</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restart"/>
            <w:tcBorders>
              <w:top w:val="nil"/>
              <w:left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ascii="仿宋" w:hAnsi="仿宋" w:eastAsia="仿宋" w:cs="宋体"/>
                <w:kern w:val="0"/>
                <w:sz w:val="24"/>
              </w:rPr>
              <w:t>2</w:t>
            </w:r>
          </w:p>
        </w:tc>
        <w:tc>
          <w:tcPr>
            <w:tcW w:w="3832" w:type="dxa"/>
            <w:tcBorders>
              <w:top w:val="nil"/>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教职员工额定编制数</w:t>
            </w:r>
          </w:p>
        </w:tc>
        <w:tc>
          <w:tcPr>
            <w:tcW w:w="99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人</w:t>
            </w:r>
          </w:p>
        </w:tc>
        <w:tc>
          <w:tcPr>
            <w:tcW w:w="114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870</w:t>
            </w:r>
          </w:p>
        </w:tc>
        <w:tc>
          <w:tcPr>
            <w:tcW w:w="121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870</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3832" w:type="dxa"/>
            <w:tcBorders>
              <w:top w:val="nil"/>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在岗教职员工总数</w:t>
            </w:r>
          </w:p>
        </w:tc>
        <w:tc>
          <w:tcPr>
            <w:tcW w:w="99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人</w:t>
            </w:r>
          </w:p>
        </w:tc>
        <w:tc>
          <w:tcPr>
            <w:tcW w:w="114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567</w:t>
            </w:r>
          </w:p>
        </w:tc>
        <w:tc>
          <w:tcPr>
            <w:tcW w:w="121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573</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3832" w:type="dxa"/>
            <w:tcBorders>
              <w:top w:val="nil"/>
              <w:left w:val="nil"/>
              <w:bottom w:val="single" w:color="auto" w:sz="4" w:space="0"/>
              <w:right w:val="single" w:color="auto" w:sz="4" w:space="0"/>
            </w:tcBorders>
            <w:shd w:val="clear" w:color="000000" w:fill="FFFFFF"/>
            <w:vAlign w:val="center"/>
          </w:tcPr>
          <w:p>
            <w:pPr>
              <w:widowControl/>
              <w:spacing w:line="360" w:lineRule="auto"/>
              <w:ind w:firstLine="240" w:firstLineChars="100"/>
              <w:jc w:val="left"/>
              <w:rPr>
                <w:rFonts w:ascii="仿宋" w:hAnsi="仿宋" w:eastAsia="仿宋" w:cs="宋体"/>
                <w:kern w:val="0"/>
                <w:sz w:val="24"/>
              </w:rPr>
            </w:pPr>
            <w:r>
              <w:rPr>
                <w:rFonts w:hint="eastAsia" w:ascii="仿宋" w:hAnsi="仿宋" w:eastAsia="仿宋" w:cs="宋体"/>
                <w:kern w:val="0"/>
                <w:sz w:val="24"/>
              </w:rPr>
              <w:t>其中：专任教师总数</w:t>
            </w:r>
          </w:p>
        </w:tc>
        <w:tc>
          <w:tcPr>
            <w:tcW w:w="99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人</w:t>
            </w:r>
          </w:p>
        </w:tc>
        <w:tc>
          <w:tcPr>
            <w:tcW w:w="114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370</w:t>
            </w:r>
          </w:p>
        </w:tc>
        <w:tc>
          <w:tcPr>
            <w:tcW w:w="1219"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382</w:t>
            </w:r>
          </w:p>
        </w:tc>
      </w:tr>
      <w:tr>
        <w:tblPrEx>
          <w:tblLayout w:type="fixed"/>
          <w:tblCellMar>
            <w:top w:w="0" w:type="dxa"/>
            <w:left w:w="108" w:type="dxa"/>
            <w:bottom w:w="0" w:type="dxa"/>
            <w:right w:w="108" w:type="dxa"/>
          </w:tblCellMar>
        </w:tblPrEx>
        <w:trPr>
          <w:trHeight w:val="465"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3</w:t>
            </w: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企业提供的校内实践教学设备值</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万元</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277.5</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734</w:t>
            </w:r>
          </w:p>
        </w:tc>
      </w:tr>
      <w:tr>
        <w:tblPrEx>
          <w:tblLayout w:type="fixed"/>
          <w:tblCellMar>
            <w:top w:w="0" w:type="dxa"/>
            <w:left w:w="108" w:type="dxa"/>
            <w:bottom w:w="0" w:type="dxa"/>
            <w:right w:w="108" w:type="dxa"/>
          </w:tblCellMar>
        </w:tblPrEx>
        <w:trPr>
          <w:trHeight w:val="465"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restart"/>
            <w:tcBorders>
              <w:top w:val="single" w:color="auto" w:sz="4" w:space="0"/>
              <w:left w:val="nil"/>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ascii="仿宋" w:hAnsi="仿宋" w:eastAsia="仿宋" w:cs="宋体"/>
                <w:kern w:val="0"/>
                <w:sz w:val="24"/>
              </w:rPr>
              <w:t>4</w:t>
            </w: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生均企业实习经费补贴</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40</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40</w:t>
            </w:r>
          </w:p>
        </w:tc>
      </w:tr>
      <w:tr>
        <w:tblPrEx>
          <w:tblLayout w:type="fixed"/>
          <w:tblCellMar>
            <w:top w:w="0" w:type="dxa"/>
            <w:left w:w="108" w:type="dxa"/>
            <w:bottom w:w="0" w:type="dxa"/>
            <w:right w:w="108" w:type="dxa"/>
          </w:tblCellMar>
        </w:tblPrEx>
        <w:trPr>
          <w:trHeight w:val="465"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ind w:firstLine="240" w:firstLineChars="100"/>
              <w:jc w:val="left"/>
              <w:rPr>
                <w:rFonts w:ascii="仿宋" w:hAnsi="仿宋" w:eastAsia="仿宋" w:cs="宋体"/>
                <w:kern w:val="0"/>
                <w:sz w:val="24"/>
              </w:rPr>
            </w:pPr>
            <w:r>
              <w:rPr>
                <w:rFonts w:ascii="仿宋" w:hAnsi="仿宋" w:eastAsia="仿宋" w:cs="宋体"/>
                <w:kern w:val="0"/>
                <w:sz w:val="24"/>
              </w:rPr>
              <w:t>其中：</w:t>
            </w:r>
            <w:r>
              <w:rPr>
                <w:rFonts w:hint="eastAsia" w:ascii="仿宋" w:hAnsi="仿宋" w:eastAsia="仿宋" w:cs="宋体"/>
                <w:kern w:val="0"/>
                <w:sz w:val="24"/>
              </w:rPr>
              <w:t>生均</w:t>
            </w:r>
            <w:r>
              <w:rPr>
                <w:rFonts w:ascii="仿宋" w:hAnsi="仿宋" w:eastAsia="仿宋" w:cs="宋体"/>
                <w:kern w:val="0"/>
                <w:sz w:val="24"/>
              </w:rPr>
              <w:t>财政专项补贴</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0</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0</w:t>
            </w:r>
          </w:p>
        </w:tc>
      </w:tr>
      <w:tr>
        <w:tblPrEx>
          <w:tblLayout w:type="fixed"/>
          <w:tblCellMar>
            <w:top w:w="0" w:type="dxa"/>
            <w:left w:w="108" w:type="dxa"/>
            <w:bottom w:w="0" w:type="dxa"/>
            <w:right w:w="108" w:type="dxa"/>
          </w:tblCellMar>
        </w:tblPrEx>
        <w:trPr>
          <w:trHeight w:val="465"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restart"/>
            <w:tcBorders>
              <w:top w:val="nil"/>
              <w:left w:val="nil"/>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ascii="仿宋" w:hAnsi="仿宋" w:eastAsia="仿宋" w:cs="宋体"/>
                <w:kern w:val="0"/>
                <w:sz w:val="24"/>
              </w:rPr>
              <w:t>5</w:t>
            </w:r>
          </w:p>
        </w:tc>
        <w:tc>
          <w:tcPr>
            <w:tcW w:w="38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生均企业实习责任保险补贴</w:t>
            </w:r>
          </w:p>
        </w:tc>
        <w:tc>
          <w:tcPr>
            <w:tcW w:w="99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60</w:t>
            </w:r>
          </w:p>
        </w:tc>
        <w:tc>
          <w:tcPr>
            <w:tcW w:w="12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60</w:t>
            </w:r>
          </w:p>
        </w:tc>
      </w:tr>
      <w:tr>
        <w:tblPrEx>
          <w:tblLayout w:type="fixed"/>
          <w:tblCellMar>
            <w:top w:w="0" w:type="dxa"/>
            <w:left w:w="108" w:type="dxa"/>
            <w:bottom w:w="0" w:type="dxa"/>
            <w:right w:w="108" w:type="dxa"/>
          </w:tblCellMar>
        </w:tblPrEx>
        <w:trPr>
          <w:trHeight w:val="465"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p>
        </w:tc>
        <w:tc>
          <w:tcPr>
            <w:tcW w:w="38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ind w:firstLine="240" w:firstLineChars="100"/>
              <w:jc w:val="left"/>
              <w:rPr>
                <w:rFonts w:ascii="仿宋" w:hAnsi="仿宋" w:eastAsia="仿宋" w:cs="宋体"/>
                <w:kern w:val="0"/>
                <w:sz w:val="24"/>
              </w:rPr>
            </w:pPr>
            <w:r>
              <w:rPr>
                <w:rFonts w:ascii="仿宋" w:hAnsi="仿宋" w:eastAsia="仿宋" w:cs="宋体"/>
                <w:kern w:val="0"/>
                <w:sz w:val="24"/>
              </w:rPr>
              <w:t>其中：</w:t>
            </w:r>
            <w:r>
              <w:rPr>
                <w:rFonts w:hint="eastAsia" w:ascii="仿宋" w:hAnsi="仿宋" w:eastAsia="仿宋" w:cs="宋体"/>
                <w:kern w:val="0"/>
                <w:sz w:val="24"/>
              </w:rPr>
              <w:t>生均</w:t>
            </w:r>
            <w:r>
              <w:rPr>
                <w:rFonts w:ascii="仿宋" w:hAnsi="仿宋" w:eastAsia="仿宋" w:cs="宋体"/>
                <w:kern w:val="0"/>
                <w:sz w:val="24"/>
              </w:rPr>
              <w:t>财政专项补贴</w:t>
            </w:r>
          </w:p>
        </w:tc>
        <w:tc>
          <w:tcPr>
            <w:tcW w:w="99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ascii="仿宋" w:hAnsi="仿宋" w:eastAsia="仿宋" w:cs="宋体"/>
                <w:kern w:val="0"/>
                <w:sz w:val="24"/>
              </w:rPr>
              <w:t>元</w:t>
            </w:r>
          </w:p>
        </w:tc>
        <w:tc>
          <w:tcPr>
            <w:tcW w:w="114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0</w:t>
            </w:r>
          </w:p>
        </w:tc>
        <w:tc>
          <w:tcPr>
            <w:tcW w:w="12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0</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restart"/>
            <w:tcBorders>
              <w:top w:val="nil"/>
              <w:left w:val="nil"/>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ascii="仿宋" w:hAnsi="仿宋" w:eastAsia="仿宋" w:cs="宋体"/>
                <w:kern w:val="0"/>
                <w:sz w:val="24"/>
              </w:rPr>
              <w:t>6</w:t>
            </w: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企业兼职教师年课时总量</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课时</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17672</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20178</w:t>
            </w:r>
          </w:p>
        </w:tc>
      </w:tr>
      <w:tr>
        <w:tblPrEx>
          <w:tblLayout w:type="fixed"/>
          <w:tblCellMar>
            <w:top w:w="0" w:type="dxa"/>
            <w:left w:w="108" w:type="dxa"/>
            <w:bottom w:w="0" w:type="dxa"/>
            <w:right w:w="108" w:type="dxa"/>
          </w:tblCellMar>
        </w:tblPrEx>
        <w:trPr>
          <w:trHeight w:val="90" w:hRule="atLeast"/>
          <w:jc w:val="center"/>
        </w:trPr>
        <w:tc>
          <w:tcPr>
            <w:tcW w:w="851"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nil"/>
              <w:right w:val="single" w:color="auto" w:sz="4" w:space="0"/>
            </w:tcBorders>
            <w:shd w:val="clear" w:color="000000" w:fill="FFFFFF"/>
            <w:vAlign w:val="center"/>
          </w:tcPr>
          <w:p>
            <w:pPr>
              <w:widowControl/>
              <w:spacing w:line="360" w:lineRule="auto"/>
              <w:rPr>
                <w:rFonts w:ascii="仿宋" w:hAnsi="仿宋" w:eastAsia="仿宋" w:cs="宋体"/>
                <w:kern w:val="0"/>
                <w:sz w:val="24"/>
              </w:rPr>
            </w:pP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kern w:val="0"/>
                <w:sz w:val="24"/>
              </w:rPr>
            </w:pPr>
            <w:r>
              <w:rPr>
                <w:rFonts w:hint="eastAsia" w:ascii="仿宋" w:hAnsi="仿宋" w:eastAsia="仿宋" w:cs="宋体"/>
                <w:kern w:val="0"/>
                <w:sz w:val="24"/>
              </w:rPr>
              <w:t>年支付企业兼职教师课酬</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2385700</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2734000</w:t>
            </w:r>
          </w:p>
        </w:tc>
      </w:tr>
      <w:tr>
        <w:tblPrEx>
          <w:tblLayout w:type="fixed"/>
          <w:tblCellMar>
            <w:top w:w="0" w:type="dxa"/>
            <w:left w:w="108" w:type="dxa"/>
            <w:bottom w:w="0" w:type="dxa"/>
            <w:right w:w="108" w:type="dxa"/>
          </w:tblCellMar>
        </w:tblPrEx>
        <w:trPr>
          <w:trHeight w:val="390" w:hRule="atLeast"/>
          <w:jc w:val="center"/>
        </w:trPr>
        <w:tc>
          <w:tcPr>
            <w:tcW w:w="851"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852"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宋体"/>
                <w:kern w:val="0"/>
                <w:sz w:val="24"/>
              </w:rPr>
            </w:pPr>
          </w:p>
        </w:tc>
        <w:tc>
          <w:tcPr>
            <w:tcW w:w="425" w:type="dxa"/>
            <w:vMerge w:val="continue"/>
            <w:tcBorders>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p>
        </w:tc>
        <w:tc>
          <w:tcPr>
            <w:tcW w:w="3832"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ind w:firstLine="240" w:firstLineChars="100"/>
              <w:jc w:val="left"/>
              <w:rPr>
                <w:rFonts w:ascii="仿宋" w:hAnsi="仿宋" w:eastAsia="仿宋" w:cs="宋体"/>
                <w:kern w:val="0"/>
                <w:sz w:val="24"/>
              </w:rPr>
            </w:pPr>
            <w:r>
              <w:rPr>
                <w:rFonts w:hint="eastAsia" w:ascii="仿宋" w:hAnsi="仿宋" w:eastAsia="仿宋" w:cs="宋体"/>
                <w:kern w:val="0"/>
                <w:sz w:val="24"/>
              </w:rPr>
              <w:t>其中：财政专项补贴</w:t>
            </w:r>
          </w:p>
        </w:tc>
        <w:tc>
          <w:tcPr>
            <w:tcW w:w="99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元</w:t>
            </w: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0</w:t>
            </w:r>
          </w:p>
        </w:tc>
        <w:tc>
          <w:tcPr>
            <w:tcW w:w="1219"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0</w:t>
            </w:r>
          </w:p>
        </w:tc>
      </w:tr>
    </w:tbl>
    <w:p>
      <w:pPr>
        <w:adjustRightInd w:val="0"/>
        <w:snapToGrid w:val="0"/>
        <w:spacing w:line="360" w:lineRule="auto"/>
        <w:rPr>
          <w:rFonts w:asciiTheme="minorEastAsia" w:hAnsiTheme="minorEastAsia" w:cstheme="minorEastAsia"/>
          <w:szCs w:val="21"/>
        </w:rPr>
      </w:pPr>
    </w:p>
    <w:p>
      <w:pPr>
        <w:adjustRightInd w:val="0"/>
        <w:snapToGrid w:val="0"/>
        <w:spacing w:line="360" w:lineRule="auto"/>
        <w:rPr>
          <w:rFonts w:asciiTheme="minorEastAsia" w:hAnsiTheme="minorEastAsia" w:cstheme="minorEastAsia"/>
          <w:b/>
          <w:bCs/>
          <w:szCs w:val="21"/>
        </w:rPr>
      </w:pPr>
      <w:r>
        <w:rPr>
          <w:rFonts w:hint="eastAsia" w:asciiTheme="minorEastAsia" w:hAnsiTheme="minorEastAsia" w:cstheme="minorEastAsia"/>
          <w:b/>
          <w:bCs/>
          <w:szCs w:val="21"/>
        </w:rPr>
        <w:t>“落实政策表”指标及相关内涵说明</w:t>
      </w:r>
    </w:p>
    <w:p>
      <w:pPr>
        <w:adjustRightInd w:val="0"/>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“落实政策表”系通过院校数据反映政府落实国家发展高职教育政策情况的管理评价工具。</w:t>
      </w:r>
    </w:p>
    <w:p>
      <w:pPr>
        <w:adjustRightInd w:val="0"/>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1.“年生均财政拨款水平”：按照《财政部 教育部关于建立完善以改革和绩效为导向的生均拨款制度加快发展现代高等职业教育的意见》（财教〔2014〕352号）要求，“年生均财政拨款水平”是指政府收支分类科目“2050305高等职业教育”中，地方财政通过一般公共预算安排用于支持高职院校发展的经费，按全日制高等职业学历教育在校生人数折算的平均水平，包括基本支出和项目支出。“年生均财政专项经费”是指“年生均财政拨款水平”中的专项经费支出。统计截止时点以财政年度为准。</w:t>
      </w:r>
    </w:p>
    <w:p>
      <w:pPr>
        <w:adjustRightInd w:val="0"/>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2.“教职员工额定编制数”指人力资源保障部门核定的学校教职工编制数；“在岗教职员工总数”指学校在编在岗教职员工和编外聘用的教学、科研和行政岗位人员总数（不含编外聘用的工勤人员）。“专任教师总数”指具有教师资格，专门从事教学工作的人员，可包括正式签约聘用的非在编的全职教师。</w:t>
      </w:r>
    </w:p>
    <w:p>
      <w:pPr>
        <w:adjustRightInd w:val="0"/>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3.“企业提供的校内实践教学设备值”指企业为学校提供的实践教学设备（设备在学校，产权属企业，学校有使用权）的总资产值。按照企业采购原值计算。</w:t>
      </w:r>
    </w:p>
    <w:p>
      <w:pPr>
        <w:adjustRightInd w:val="0"/>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4.“生均企业实习经费补贴”指用于补贴学生企业实习的经费(补贴给学生个人或企业),按照实习学生人数折算的平均水平。其中，“生均财政专项补贴”是指“生均企业实习经费补贴”中的财政专项经费，如果没有单列财政专项则不填。</w:t>
      </w:r>
    </w:p>
    <w:p>
      <w:pPr>
        <w:adjustRightInd w:val="0"/>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5.“生均企业实习责任保险补贴”指用于补贴学生企业实习责任保险的经费，按照实习学生人数折算的平均水平。其中，“生均财政专项补贴”是指“生均企业实习责任保险补贴”中的财政专项经费，如果没有单列财政专项则不填。</w:t>
      </w:r>
    </w:p>
    <w:p>
      <w:pPr>
        <w:adjustRightInd w:val="0"/>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6.“企业兼职教师年课时总量”指企业兼职教师当年为学生授课课时总量。“年支付企业兼职教师课酬”指每年度用于支付企业兼职教师担任专业理论课、专业实践课教师的课时费总金额。兼课教师费用、企业兼职教师授课以外的费用都不能统计在内。其中，“财政专项补贴”是指“年支付企业兼职教师课酬”中的财政专项经费。</w:t>
      </w:r>
    </w:p>
    <w:p>
      <w:pPr>
        <w:adjustRightInd w:val="0"/>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br w:type="page"/>
      </w:r>
    </w:p>
    <w:p>
      <w:pPr>
        <w:pStyle w:val="3"/>
        <w:jc w:val="center"/>
      </w:pPr>
      <w:bookmarkStart w:id="286" w:name="_Toc580"/>
      <w:r>
        <w:rPr>
          <w:rFonts w:hint="eastAsia"/>
        </w:rPr>
        <w:t>表6 相关数据表</w:t>
      </w:r>
      <w:bookmarkEnd w:id="286"/>
    </w:p>
    <w:tbl>
      <w:tblPr>
        <w:tblStyle w:val="18"/>
        <w:tblW w:w="8411" w:type="dxa"/>
        <w:jc w:val="center"/>
        <w:tblInd w:w="0" w:type="dxa"/>
        <w:tblLayout w:type="fixed"/>
        <w:tblCellMar>
          <w:top w:w="15" w:type="dxa"/>
          <w:left w:w="15" w:type="dxa"/>
          <w:bottom w:w="15" w:type="dxa"/>
          <w:right w:w="15" w:type="dxa"/>
        </w:tblCellMar>
      </w:tblPr>
      <w:tblGrid>
        <w:gridCol w:w="721"/>
        <w:gridCol w:w="675"/>
        <w:gridCol w:w="570"/>
        <w:gridCol w:w="3850"/>
        <w:gridCol w:w="733"/>
        <w:gridCol w:w="947"/>
        <w:gridCol w:w="915"/>
      </w:tblGrid>
      <w:tr>
        <w:tblPrEx>
          <w:tblLayout w:type="fixed"/>
          <w:tblCellMar>
            <w:top w:w="15" w:type="dxa"/>
            <w:left w:w="15" w:type="dxa"/>
            <w:bottom w:w="15" w:type="dxa"/>
            <w:right w:w="15" w:type="dxa"/>
          </w:tblCellMar>
        </w:tblPrEx>
        <w:trPr>
          <w:trHeight w:val="285"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6" w:lineRule="auto"/>
              <w:jc w:val="center"/>
              <w:rPr>
                <w:rFonts w:ascii="仿宋" w:hAnsi="仿宋" w:eastAsia="仿宋" w:cs="宋体"/>
                <w:b/>
                <w:bCs/>
                <w:kern w:val="0"/>
                <w:sz w:val="24"/>
              </w:rPr>
            </w:pPr>
            <w:r>
              <w:rPr>
                <w:rFonts w:hint="eastAsia" w:ascii="仿宋" w:hAnsi="仿宋" w:eastAsia="仿宋" w:cs="宋体"/>
                <w:b/>
                <w:bCs/>
                <w:kern w:val="0"/>
                <w:sz w:val="24"/>
              </w:rPr>
              <w:t>院校代码</w:t>
            </w:r>
          </w:p>
        </w:tc>
        <w:tc>
          <w:tcPr>
            <w:tcW w:w="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6" w:lineRule="auto"/>
              <w:jc w:val="center"/>
              <w:rPr>
                <w:rFonts w:ascii="仿宋" w:hAnsi="仿宋" w:eastAsia="仿宋" w:cs="宋体"/>
                <w:b/>
                <w:bCs/>
                <w:kern w:val="0"/>
                <w:sz w:val="24"/>
              </w:rPr>
            </w:pPr>
            <w:r>
              <w:rPr>
                <w:rFonts w:hint="eastAsia" w:ascii="仿宋" w:hAnsi="仿宋" w:eastAsia="仿宋" w:cs="宋体"/>
                <w:b/>
                <w:bCs/>
                <w:kern w:val="0"/>
                <w:sz w:val="24"/>
              </w:rPr>
              <w:t>院校名称</w:t>
            </w:r>
          </w:p>
        </w:tc>
        <w:tc>
          <w:tcPr>
            <w:tcW w:w="4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6" w:lineRule="auto"/>
              <w:jc w:val="center"/>
              <w:rPr>
                <w:rFonts w:ascii="仿宋" w:hAnsi="仿宋" w:eastAsia="仿宋" w:cs="宋体"/>
                <w:b/>
                <w:bCs/>
                <w:kern w:val="0"/>
                <w:sz w:val="24"/>
              </w:rPr>
            </w:pPr>
            <w:r>
              <w:rPr>
                <w:rFonts w:hint="eastAsia" w:ascii="仿宋" w:hAnsi="仿宋" w:eastAsia="仿宋" w:cs="宋体"/>
                <w:b/>
                <w:bCs/>
                <w:kern w:val="0"/>
                <w:sz w:val="24"/>
              </w:rPr>
              <w:t>指       标</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6" w:lineRule="auto"/>
              <w:jc w:val="center"/>
              <w:rPr>
                <w:rFonts w:ascii="仿宋" w:hAnsi="仿宋" w:eastAsia="仿宋" w:cs="宋体"/>
                <w:b/>
                <w:bCs/>
                <w:kern w:val="0"/>
                <w:sz w:val="24"/>
              </w:rPr>
            </w:pPr>
            <w:r>
              <w:rPr>
                <w:rFonts w:hint="eastAsia" w:ascii="仿宋" w:hAnsi="仿宋" w:eastAsia="仿宋" w:cs="宋体"/>
                <w:b/>
                <w:bCs/>
                <w:kern w:val="0"/>
                <w:sz w:val="24"/>
              </w:rPr>
              <w:t>单位</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6" w:lineRule="auto"/>
              <w:jc w:val="center"/>
              <w:rPr>
                <w:rFonts w:ascii="仿宋" w:hAnsi="仿宋" w:eastAsia="仿宋" w:cs="宋体"/>
                <w:b/>
                <w:bCs/>
                <w:kern w:val="0"/>
                <w:sz w:val="24"/>
              </w:rPr>
            </w:pPr>
            <w:r>
              <w:rPr>
                <w:rFonts w:hint="eastAsia" w:ascii="仿宋" w:hAnsi="仿宋" w:eastAsia="仿宋" w:cs="宋体"/>
                <w:b/>
                <w:bCs/>
                <w:kern w:val="0"/>
                <w:sz w:val="24"/>
              </w:rPr>
              <w:t>2016年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6" w:lineRule="auto"/>
              <w:jc w:val="center"/>
              <w:rPr>
                <w:rFonts w:ascii="仿宋" w:hAnsi="仿宋" w:eastAsia="仿宋" w:cs="宋体"/>
                <w:b/>
                <w:bCs/>
                <w:kern w:val="0"/>
                <w:sz w:val="24"/>
              </w:rPr>
            </w:pPr>
            <w:r>
              <w:rPr>
                <w:rFonts w:hint="eastAsia" w:ascii="仿宋" w:hAnsi="仿宋" w:eastAsia="仿宋" w:cs="宋体"/>
                <w:b/>
                <w:bCs/>
                <w:kern w:val="0"/>
                <w:sz w:val="24"/>
              </w:rPr>
              <w:t>2017年</w:t>
            </w:r>
          </w:p>
        </w:tc>
      </w:tr>
      <w:tr>
        <w:tblPrEx>
          <w:tblLayout w:type="fixed"/>
          <w:tblCellMar>
            <w:top w:w="15" w:type="dxa"/>
            <w:left w:w="15" w:type="dxa"/>
            <w:bottom w:w="15" w:type="dxa"/>
            <w:right w:w="15" w:type="dxa"/>
          </w:tblCellMar>
        </w:tblPrEx>
        <w:trPr>
          <w:trHeight w:val="285" w:hRule="atLeast"/>
          <w:jc w:val="center"/>
        </w:trPr>
        <w:tc>
          <w:tcPr>
            <w:tcW w:w="72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Theme="minorEastAsia" w:hAnsiTheme="minorEastAsia" w:cstheme="minorEastAsia"/>
                <w:color w:val="000000"/>
                <w:sz w:val="24"/>
              </w:rPr>
            </w:pPr>
            <w:r>
              <w:rPr>
                <w:rFonts w:hint="eastAsia" w:asciiTheme="minorEastAsia" w:hAnsiTheme="minorEastAsia" w:cstheme="minorEastAsia"/>
                <w:color w:val="000000"/>
                <w:sz w:val="24"/>
              </w:rPr>
              <w:t>13043</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Theme="minorEastAsia" w:hAnsiTheme="minorEastAsia" w:cstheme="minorEastAsia"/>
                <w:color w:val="000000"/>
                <w:sz w:val="24"/>
              </w:rPr>
            </w:pPr>
            <w:r>
              <w:rPr>
                <w:rFonts w:hint="eastAsia" w:asciiTheme="minorEastAsia" w:hAnsiTheme="minorEastAsia" w:cstheme="minorEastAsia"/>
                <w:kern w:val="0"/>
                <w:sz w:val="24"/>
              </w:rPr>
              <w:t>化工职业技术学院</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sz w:val="22"/>
                <w:szCs w:val="22"/>
              </w:rPr>
              <w:t>1</w:t>
            </w: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累计设立分党校数量</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当年参加党校培训人数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847</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1453</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当年参加党校培训结业人数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847</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1453</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学习“十九大”精神报告会场数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场</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themeColor="text1"/>
                <w:sz w:val="22"/>
                <w:szCs w:val="22"/>
              </w:rPr>
            </w:pPr>
            <w:r>
              <w:rPr>
                <w:rFonts w:hint="eastAsia" w:ascii="宋体" w:hAnsi="宋体" w:eastAsia="宋体" w:cs="宋体"/>
                <w:color w:val="000000" w:themeColor="text1"/>
                <w:kern w:val="0"/>
                <w:sz w:val="22"/>
                <w:szCs w:val="22"/>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39</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开展学习“十九大”专题活动次数</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themeColor="text1"/>
                <w:sz w:val="22"/>
                <w:szCs w:val="22"/>
              </w:rPr>
            </w:pPr>
            <w:r>
              <w:rPr>
                <w:rFonts w:hint="eastAsia" w:ascii="宋体" w:hAnsi="宋体" w:eastAsia="宋体" w:cs="宋体"/>
                <w:color w:val="000000" w:themeColor="text1"/>
                <w:kern w:val="0"/>
                <w:sz w:val="22"/>
                <w:szCs w:val="22"/>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54</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w:t>
            </w: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当年生均学费</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元</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4889.54</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5073.67</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2014届毕业生月平均收入额</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元</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themeColor="text1"/>
                <w:sz w:val="22"/>
                <w:szCs w:val="22"/>
              </w:rPr>
            </w:pPr>
            <w:r>
              <w:rPr>
                <w:rFonts w:hint="eastAsia" w:ascii="宋体" w:hAnsi="宋体" w:eastAsia="宋体" w:cs="宋体"/>
                <w:color w:val="000000" w:themeColor="text1"/>
                <w:kern w:val="0"/>
                <w:sz w:val="22"/>
                <w:szCs w:val="22"/>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5137</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2014届毕业生月收入比工作起薪平均增加额</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元</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themeColor="text1"/>
                <w:sz w:val="22"/>
                <w:szCs w:val="22"/>
              </w:rPr>
            </w:pPr>
            <w:r>
              <w:rPr>
                <w:rFonts w:hint="eastAsia" w:ascii="宋体" w:hAnsi="宋体" w:eastAsia="宋体" w:cs="宋体"/>
                <w:color w:val="000000" w:themeColor="text1"/>
                <w:kern w:val="0"/>
                <w:sz w:val="22"/>
                <w:szCs w:val="22"/>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1556</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抽样调查2014届毕业生近三年职位晋升情况的人数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themeColor="text1"/>
                <w:sz w:val="22"/>
                <w:szCs w:val="22"/>
              </w:rPr>
            </w:pPr>
            <w:r>
              <w:rPr>
                <w:rFonts w:hint="eastAsia" w:ascii="宋体" w:hAnsi="宋体" w:eastAsia="宋体" w:cs="宋体"/>
                <w:color w:val="000000" w:themeColor="text1"/>
                <w:kern w:val="0"/>
                <w:sz w:val="22"/>
                <w:szCs w:val="22"/>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84</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    A：其中发生过1次职位晋升的人数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themeColor="text1"/>
                <w:sz w:val="22"/>
                <w:szCs w:val="22"/>
              </w:rPr>
            </w:pPr>
            <w:r>
              <w:rPr>
                <w:rFonts w:hint="eastAsia" w:ascii="宋体" w:hAnsi="宋体" w:eastAsia="宋体" w:cs="宋体"/>
                <w:color w:val="000000" w:themeColor="text1"/>
                <w:kern w:val="0"/>
                <w:sz w:val="22"/>
                <w:szCs w:val="22"/>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84</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    B：其中发生过2次职位晋升的人数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themeColor="text1"/>
                <w:sz w:val="22"/>
                <w:szCs w:val="22"/>
              </w:rPr>
            </w:pPr>
            <w:r>
              <w:rPr>
                <w:rFonts w:hint="eastAsia" w:ascii="宋体" w:hAnsi="宋体" w:eastAsia="宋体" w:cs="宋体"/>
                <w:color w:val="000000" w:themeColor="text1"/>
                <w:kern w:val="0"/>
                <w:sz w:val="22"/>
                <w:szCs w:val="22"/>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54</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    A：其中从生产岗位晋升到管理岗位的人数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themeColor="text1"/>
                <w:sz w:val="22"/>
                <w:szCs w:val="22"/>
              </w:rPr>
            </w:pPr>
            <w:r>
              <w:rPr>
                <w:rFonts w:hint="eastAsia" w:ascii="宋体" w:hAnsi="宋体" w:eastAsia="宋体" w:cs="宋体"/>
                <w:color w:val="000000" w:themeColor="text1"/>
                <w:kern w:val="0"/>
                <w:sz w:val="22"/>
                <w:szCs w:val="22"/>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36</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w:t>
            </w: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累计从企业引进专任教师数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30</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41</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累计从企业引进专任教师作为专业带头人数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8</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12</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累计建立专家工作室或名师工作室数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6</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累计与企业共建“双师型”教师培养培训基地个数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15</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19</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当年自主组织教师培训人数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517</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637</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当年下企业顶岗实践的教师人数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314</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328</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累计开发网络课程门数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门</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293</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340</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累计开发教学视频个数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2751</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3683</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累计建设数字化专业教学资源库数量</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w:t>
            </w: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校级以上重点建设专业群个数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重点建设专业群学生数占在校生人数比例</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60.31</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64.33</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w:t>
            </w: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累计与国(境)外院校开展合作办学项目数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项</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8</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累计选派教师赴国（境）外学习数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109</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137</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累计与国(境)外院校合作开发国际化专业教学标准数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累计吸引国(境)外学生来校参观学习数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0</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12</w:t>
            </w:r>
          </w:p>
        </w:tc>
      </w:tr>
      <w:tr>
        <w:tblPrEx>
          <w:tblLayout w:type="fixed"/>
          <w:tblCellMar>
            <w:top w:w="15" w:type="dxa"/>
            <w:left w:w="15" w:type="dxa"/>
            <w:bottom w:w="15" w:type="dxa"/>
            <w:right w:w="15" w:type="dxa"/>
          </w:tblCellMar>
        </w:tblPrEx>
        <w:trPr>
          <w:trHeight w:val="197"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累计开展各类国际交流合作培训数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109</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137</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累计在国（境）外设立的培训机构数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0</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0</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累计培训国（境）外人员数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0</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12</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累计培训在国（境）外工作的中国员工数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0</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0</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w:t>
            </w: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当年开展各类职业技术培训数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8546</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18493</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当年开展农村劳动力转移培训数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341</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453</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当年开展农村实用技术培训数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912</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1537</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当年开展农民创业培训数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86</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132</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当年发放贫困生奖学金数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104.2</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119.5</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当年发放贫困生助学金数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531.9</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540</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当年面向贫困地区开展项目扶贫个数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项</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当年面向贫困户开展技术培训数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21</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34</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当年免费招收贫困家庭学生数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color w:val="000000" w:themeColor="text1"/>
                <w:sz w:val="22"/>
                <w:szCs w:val="22"/>
                <w:lang w:eastAsia="zh-CN"/>
              </w:rPr>
            </w:pPr>
            <w:r>
              <w:rPr>
                <w:rFonts w:hint="eastAsia" w:ascii="宋体" w:hAnsi="宋体" w:eastAsia="宋体" w:cs="宋体"/>
                <w:color w:val="000000" w:themeColor="text1"/>
                <w:sz w:val="22"/>
                <w:szCs w:val="22"/>
                <w:lang w:val="en-US" w:eastAsia="zh-CN"/>
              </w:rPr>
              <w:t>3</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当年帮助贫困地区学校建设实训基地（室）数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0</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当年派遣到贫困地区学校支教教师数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人日</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当年指导贫困地区学校开发人才培养方案</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0</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当年指导贫困地区学校开发课程</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门</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5</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当年指导贫困地区学校开展专业建设</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0</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当年培训贫困地区教师数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人次</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137</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394</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w:t>
            </w:r>
          </w:p>
        </w:tc>
        <w:tc>
          <w:tcPr>
            <w:tcW w:w="3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累计建立混合所有制二级学院数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w:t>
            </w:r>
          </w:p>
        </w:tc>
      </w:tr>
      <w:tr>
        <w:tblPrEx>
          <w:tblLayout w:type="fixed"/>
          <w:tblCellMar>
            <w:top w:w="15" w:type="dxa"/>
            <w:left w:w="15" w:type="dxa"/>
            <w:bottom w:w="15" w:type="dxa"/>
            <w:right w:w="15" w:type="dxa"/>
          </w:tblCellMar>
        </w:tblPrEx>
        <w:trPr>
          <w:trHeight w:val="285" w:hRule="atLeast"/>
          <w:jc w:val="center"/>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eastAsia="宋体" w:cs="宋体"/>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累计校企共建研发中心数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个</w:t>
            </w:r>
          </w:p>
        </w:tc>
        <w:tc>
          <w:tcPr>
            <w:tcW w:w="9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1</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themeColor="text1"/>
                <w:sz w:val="22"/>
                <w:szCs w:val="22"/>
              </w:rPr>
            </w:pPr>
            <w:r>
              <w:rPr>
                <w:rFonts w:hint="eastAsia" w:ascii="宋体" w:hAnsi="宋体" w:eastAsia="宋体" w:cs="宋体"/>
                <w:color w:val="000000" w:themeColor="text1"/>
                <w:sz w:val="22"/>
                <w:szCs w:val="22"/>
              </w:rPr>
              <w:t>2</w:t>
            </w:r>
          </w:p>
        </w:tc>
      </w:tr>
    </w:tbl>
    <w:p>
      <w:pPr>
        <w:adjustRightInd w:val="0"/>
        <w:snapToGrid w:val="0"/>
        <w:spacing w:line="360" w:lineRule="auto"/>
        <w:rPr>
          <w:rFonts w:ascii="宋体" w:hAnsi="宋体" w:eastAsia="宋体" w:cs="宋体"/>
          <w:color w:val="000000"/>
          <w:kern w:val="0"/>
          <w:sz w:val="22"/>
          <w:szCs w:val="22"/>
        </w:rPr>
      </w:pPr>
    </w:p>
    <w:p>
      <w:pPr>
        <w:adjustRightInd w:val="0"/>
        <w:snapToGrid w:val="0"/>
        <w:spacing w:line="360" w:lineRule="auto"/>
        <w:rPr>
          <w:rFonts w:ascii="宋体" w:hAnsi="宋体" w:eastAsia="宋体" w:cs="宋体"/>
          <w:color w:val="000000"/>
          <w:kern w:val="0"/>
          <w:sz w:val="22"/>
          <w:szCs w:val="22"/>
        </w:rPr>
      </w:pPr>
      <w:r>
        <w:rPr>
          <w:rFonts w:hint="eastAsia" w:ascii="宋体" w:hAnsi="宋体" w:eastAsia="宋体" w:cs="宋体"/>
          <w:color w:val="000000"/>
          <w:kern w:val="0"/>
          <w:sz w:val="22"/>
          <w:szCs w:val="22"/>
        </w:rPr>
        <w:t>注：学院对2014届毕业生相关数据采取抽样调查的方式统计，抽查人数140人，有效数据116人，表中相关比例的计算以116人基准。</w:t>
      </w:r>
    </w:p>
    <w:p>
      <w:pPr>
        <w:adjustRightInd w:val="0"/>
        <w:snapToGrid w:val="0"/>
        <w:spacing w:line="360" w:lineRule="auto"/>
        <w:rPr>
          <w:rFonts w:ascii="宋体" w:hAnsi="宋体" w:eastAsia="宋体" w:cs="宋体"/>
          <w:b/>
          <w:bCs/>
          <w:color w:val="000000"/>
          <w:kern w:val="0"/>
          <w:sz w:val="22"/>
          <w:szCs w:val="22"/>
        </w:rPr>
      </w:pP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pple-system-font">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华文楷体">
    <w:altName w:val="华文中宋"/>
    <w:panose1 w:val="02010600040101010101"/>
    <w:charset w:val="86"/>
    <w:family w:val="auto"/>
    <w:pitch w:val="default"/>
    <w:sig w:usb0="00000000" w:usb1="00000000" w:usb2="00000010" w:usb3="00000000" w:csb0="0004009F" w:csb1="00000000"/>
  </w:font>
  <w:font w:name="Calibri Light">
    <w:altName w:val="Calibri"/>
    <w:panose1 w:val="020F0302020204030204"/>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MS UI Gothic">
    <w:panose1 w:val="020B0600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Andalus">
    <w:panose1 w:val="02020603050405020304"/>
    <w:charset w:val="00"/>
    <w:family w:val="auto"/>
    <w:pitch w:val="default"/>
    <w:sig w:usb0="00002003" w:usb1="80000000" w:usb2="00000008" w:usb3="00000000" w:csb0="00000041" w:csb1="20080000"/>
  </w:font>
  <w:font w:name="Bookshelf Symbol 7">
    <w:panose1 w:val="05010101010101010101"/>
    <w:charset w:val="00"/>
    <w:family w:val="auto"/>
    <w:pitch w:val="default"/>
    <w:sig w:usb0="00000000" w:usb1="00000000" w:usb2="00000000" w:usb3="00000000" w:csb0="80000000" w:csb1="00000000"/>
  </w:font>
  <w:font w:name="Comic Sans MS">
    <w:panose1 w:val="030F0702030302020204"/>
    <w:charset w:val="00"/>
    <w:family w:val="auto"/>
    <w:pitch w:val="default"/>
    <w:sig w:usb0="00000287" w:usb1="00000000" w:usb2="00000000" w:usb3="00000000" w:csb0="2000009F" w:csb1="00000000"/>
  </w:font>
  <w:font w:name="Constantia">
    <w:panose1 w:val="02030602050306030303"/>
    <w:charset w:val="00"/>
    <w:family w:val="auto"/>
    <w:pitch w:val="default"/>
    <w:sig w:usb0="A00002EF" w:usb1="4000204B" w:usb2="00000000" w:usb3="00000000" w:csb0="2000019F" w:csb1="00000000"/>
  </w:font>
  <w:font w:name="EucrosiaUPC">
    <w:panose1 w:val="02020603050405020304"/>
    <w:charset w:val="00"/>
    <w:family w:val="auto"/>
    <w:pitch w:val="default"/>
    <w:sig w:usb0="81000027" w:usb1="00000002" w:usb2="00000000" w:usb3="00000000" w:csb0="00010001" w:csb1="00000000"/>
  </w:font>
  <w:font w:name="Gabriola">
    <w:panose1 w:val="04040605051002020D02"/>
    <w:charset w:val="00"/>
    <w:family w:val="auto"/>
    <w:pitch w:val="default"/>
    <w:sig w:usb0="E00002EF" w:usb1="5000204B" w:usb2="00000000" w:usb3="00000000" w:csb0="2000009F" w:csb1="00000000"/>
  </w:font>
  <w:font w:name="Georgia">
    <w:panose1 w:val="02040502050405020303"/>
    <w:charset w:val="00"/>
    <w:family w:val="auto"/>
    <w:pitch w:val="default"/>
    <w:sig w:usb0="00000287" w:usb1="00000000" w:usb2="00000000" w:usb3="00000000" w:csb0="2000009F" w:csb1="00000000"/>
  </w:font>
  <w:font w:name="Kokila">
    <w:panose1 w:val="020B0604020202020204"/>
    <w:charset w:val="00"/>
    <w:family w:val="auto"/>
    <w:pitch w:val="default"/>
    <w:sig w:usb0="00008003" w:usb1="00000000" w:usb2="00000000" w:usb3="00000000" w:csb0="00000001" w:csb1="00000000"/>
  </w:font>
  <w:font w:name="Rod">
    <w:panose1 w:val="02030509050101010101"/>
    <w:charset w:val="00"/>
    <w:family w:val="auto"/>
    <w:pitch w:val="default"/>
    <w:sig w:usb0="00000801" w:usb1="00000000" w:usb2="00000000" w:usb3="00000000" w:csb0="00000020" w:csb1="00200000"/>
  </w:font>
  <w:font w:name="Segoe UI Symbol">
    <w:panose1 w:val="020B0502040204020203"/>
    <w:charset w:val="00"/>
    <w:family w:val="auto"/>
    <w:pitch w:val="default"/>
    <w:sig w:usb0="8000006F" w:usb1="1200FBEF" w:usb2="0064C000" w:usb3="00000002" w:csb0="00000001" w:csb1="40000000"/>
  </w:font>
  <w:font w:name="Sylfaen">
    <w:panose1 w:val="010A0502050306030303"/>
    <w:charset w:val="00"/>
    <w:family w:val="auto"/>
    <w:pitch w:val="default"/>
    <w:sig w:usb0="04000687" w:usb1="00000000" w:usb2="00000000" w:usb3="00000000" w:csb0="2000009F" w:csb1="00000000"/>
  </w:font>
  <w:font w:name="Simplified Arabic Fixed">
    <w:panose1 w:val="02070309020205020404"/>
    <w:charset w:val="00"/>
    <w:family w:val="auto"/>
    <w:pitch w:val="default"/>
    <w:sig w:usb0="00002003" w:usb1="00000000" w:usb2="00000000" w:usb3="00000000" w:csb0="00000041" w:csb1="20080000"/>
  </w:font>
  <w:font w:name="Simplified Arabic">
    <w:panose1 w:val="02020603050405020304"/>
    <w:charset w:val="00"/>
    <w:family w:val="auto"/>
    <w:pitch w:val="default"/>
    <w:sig w:usb0="00002003" w:usb1="00000000" w:usb2="00000000" w:usb3="00000000" w:csb0="00000041" w:csb1="20080000"/>
  </w:font>
  <w:font w:name="Shruti">
    <w:panose1 w:val="020B0502040204020203"/>
    <w:charset w:val="00"/>
    <w:family w:val="auto"/>
    <w:pitch w:val="default"/>
    <w:sig w:usb0="00040003" w:usb1="00000000" w:usb2="00000000" w:usb3="00000000" w:csb0="00000001" w:csb1="00000000"/>
  </w:font>
  <w:font w:name="Shonar Bangla">
    <w:panose1 w:val="020B0502040204020203"/>
    <w:charset w:val="00"/>
    <w:family w:val="auto"/>
    <w:pitch w:val="default"/>
    <w:sig w:usb0="00010003" w:usb1="00000000" w:usb2="00000000" w:usb3="00000000" w:csb0="00000001"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JBwgVAgAAFQ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RopnCjk7fv51+/Dr9/EqgA0Ct9TP4bSw8Q/fWdFj0oPdQxrm7&#10;yql4YyICO6A+XuAVXSA8Bk0n02kOE4dteCB/9hhunQ/vhFEkCgV12F+ClR3WPvSug0usps2qkTLt&#10;UGrSFvT6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AJBwgVAgAAFQQAAA4AAAAAAAAA&#10;AQAgAAAAHwEAAGRycy9lMm9Eb2MueG1sUEsFBgAAAAAGAAYAWQEAAKYFAAAAAA==&#10;">
          <v:path/>
          <v:fill on="f" focussize="0,0"/>
          <v:stroke on="f" weight="0.5pt" joinstyle="miter"/>
          <v:imagedata o:title=""/>
          <o:lock v:ext="edit"/>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path/>
          <v:fill on="f" focussize="0,0"/>
          <v:stroke on="f" weight="0.5pt" joinstyle="miter"/>
          <v:imagedata o:title=""/>
          <o:lock v:ext="edit"/>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V</w:t>
                </w:r>
                <w:r>
                  <w:rPr>
                    <w:rFonts w:hint="eastAsia"/>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path/>
          <v:fill on="f" focussize="0,0"/>
          <v:stroke on="f" weight="0.5pt" joinstyle="miter"/>
          <v:imagedata o:title=""/>
          <o:lock v:ext="edit"/>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pPr>
    <w:r>
      <w:rPr>
        <w:rFonts w:hint="eastAsia" w:ascii="华文行楷" w:eastAsia="华文行楷"/>
      </w:rPr>
      <w:pict>
        <v:group id="Group 17" o:spid="_x0000_s2060" o:spt="203" style="position:absolute;left:0pt;margin-left:2.25pt;margin-top:-14.95pt;height:27.45pt;width:154.7pt;z-index:251670528;mso-width-relative:page;mso-height-relative:page;" coordorigin="0,-21" coordsize="4918,757">
          <o:lock v:ext="edit" grouping="f" rotation="f" text="f" aspectratio="t"/>
          <v:shape id="Picture 18" o:spid="_x0000_s2061" o:spt="75" alt="化院横" type="#_x0000_t75" style="position:absolute;left:702;top:-21;height:445;width:4216;" filled="f" o:preferrelative="t" stroked="f" coordsize="21600,21600">
            <v:path/>
            <v:fill on="f" focussize="0,0"/>
            <v:stroke on="f"/>
            <v:imagedata r:id="rId1" o:title="化院横"/>
            <o:lock v:ext="edit" aspectratio="t"/>
          </v:shape>
          <v:shape id="Picture 19" o:spid="_x0000_s2062" o:spt="75" type="#_x0000_t75" style="position:absolute;left:0;top:135;height:601;width:799;rotation:-983960f;" filled="f" o:preferrelative="t" stroked="f" coordsize="21600,21600">
            <v:path/>
            <v:fill on="f" focussize="0,0"/>
            <v:stroke on="f"/>
            <v:imagedata r:id="rId2" o:title=""/>
            <o:lock v:ext="edit" aspectratio="t"/>
          </v:shape>
          <v:shape id="Picture 20" o:spid="_x0000_s2063" o:spt="75" type="#_x0000_t75" style="position:absolute;left:729;top:468;height:246;width:4140;" filled="f" o:preferrelative="t" stroked="f" coordsize="21600,21600">
            <v:path/>
            <v:fill on="f" focussize="0,0"/>
            <v:stroke on="f"/>
            <v:imagedata r:id="rId3" o:title=""/>
            <o:lock v:ext="edit" aspectratio="t"/>
          </v:shape>
        </v:group>
      </w:pict>
    </w:r>
    <w:r>
      <w:rPr>
        <w:rFonts w:hint="eastAsia"/>
        <w:lang w:val="en-US" w:eastAsia="zh-CN"/>
      </w:rPr>
      <w:t xml:space="preserve">                                                       </w:t>
    </w:r>
    <w:r>
      <w:rPr>
        <w:rFonts w:hint="eastAsia" w:ascii="华文行楷" w:eastAsia="华文行楷"/>
        <w:sz w:val="21"/>
        <w:szCs w:val="21"/>
      </w:rPr>
      <w:t>高等职业教育质量年度报告</w:t>
    </w:r>
    <w:r>
      <w:rPr>
        <w:rFonts w:hint="eastAsia" w:ascii="仿宋_GB2312" w:hAnsi="仿宋_GB2312" w:eastAsia="仿宋_GB2312" w:cs="仿宋_GB2312"/>
        <w:b/>
        <w:sz w:val="21"/>
        <w:szCs w:val="21"/>
      </w:rPr>
      <w:t>（201</w:t>
    </w:r>
    <w:r>
      <w:rPr>
        <w:rFonts w:hint="eastAsia" w:ascii="仿宋_GB2312" w:hAnsi="仿宋_GB2312" w:eastAsia="仿宋_GB2312" w:cs="仿宋_GB2312"/>
        <w:b/>
        <w:sz w:val="21"/>
        <w:szCs w:val="21"/>
        <w:lang w:val="en-US" w:eastAsia="zh-CN"/>
      </w:rPr>
      <w:t>8</w:t>
    </w:r>
    <w:r>
      <w:rPr>
        <w:rFonts w:hint="eastAsia" w:ascii="仿宋_GB2312" w:hAnsi="仿宋_GB2312" w:eastAsia="仿宋_GB2312" w:cs="仿宋_GB2312"/>
        <w:b/>
        <w:sz w:val="21"/>
        <w:szCs w:val="21"/>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4858"/>
    <w:rsid w:val="003C4858"/>
    <w:rsid w:val="004665E5"/>
    <w:rsid w:val="00A85057"/>
    <w:rsid w:val="00E119AD"/>
    <w:rsid w:val="00EA65FF"/>
    <w:rsid w:val="01155AE2"/>
    <w:rsid w:val="035849E7"/>
    <w:rsid w:val="0C18095E"/>
    <w:rsid w:val="0E575028"/>
    <w:rsid w:val="0E9848A6"/>
    <w:rsid w:val="0EAA674A"/>
    <w:rsid w:val="0F5B1EEB"/>
    <w:rsid w:val="1358010E"/>
    <w:rsid w:val="146B2D8C"/>
    <w:rsid w:val="17A605BA"/>
    <w:rsid w:val="18540056"/>
    <w:rsid w:val="197E70EE"/>
    <w:rsid w:val="19900AE5"/>
    <w:rsid w:val="1A3207DC"/>
    <w:rsid w:val="1BBA20AE"/>
    <w:rsid w:val="1E7539DB"/>
    <w:rsid w:val="21BD349C"/>
    <w:rsid w:val="21C60AC7"/>
    <w:rsid w:val="22607C31"/>
    <w:rsid w:val="22CF37A6"/>
    <w:rsid w:val="230710C0"/>
    <w:rsid w:val="23D9072B"/>
    <w:rsid w:val="25551C88"/>
    <w:rsid w:val="26502B24"/>
    <w:rsid w:val="2804253E"/>
    <w:rsid w:val="280E656D"/>
    <w:rsid w:val="28840193"/>
    <w:rsid w:val="292261D4"/>
    <w:rsid w:val="292F4D12"/>
    <w:rsid w:val="29D93594"/>
    <w:rsid w:val="2B14362B"/>
    <w:rsid w:val="2B407E56"/>
    <w:rsid w:val="2B6A128B"/>
    <w:rsid w:val="2C004073"/>
    <w:rsid w:val="2D7A717C"/>
    <w:rsid w:val="2F9F6F14"/>
    <w:rsid w:val="300C3054"/>
    <w:rsid w:val="34243810"/>
    <w:rsid w:val="346E1B8F"/>
    <w:rsid w:val="357408FC"/>
    <w:rsid w:val="360B1BC6"/>
    <w:rsid w:val="373833F4"/>
    <w:rsid w:val="37F118BA"/>
    <w:rsid w:val="3CC3171B"/>
    <w:rsid w:val="3D9208E6"/>
    <w:rsid w:val="3E78634B"/>
    <w:rsid w:val="421F2D62"/>
    <w:rsid w:val="42DF1C3B"/>
    <w:rsid w:val="440C21BD"/>
    <w:rsid w:val="46020B48"/>
    <w:rsid w:val="460968FF"/>
    <w:rsid w:val="468E2D2C"/>
    <w:rsid w:val="47961AD0"/>
    <w:rsid w:val="47D35FA9"/>
    <w:rsid w:val="49A3549A"/>
    <w:rsid w:val="4A123AA6"/>
    <w:rsid w:val="50F648EA"/>
    <w:rsid w:val="51A67ECE"/>
    <w:rsid w:val="51ED1C4A"/>
    <w:rsid w:val="52712D66"/>
    <w:rsid w:val="5BD91476"/>
    <w:rsid w:val="5C0F4848"/>
    <w:rsid w:val="5F096A7C"/>
    <w:rsid w:val="5F55662B"/>
    <w:rsid w:val="605B075A"/>
    <w:rsid w:val="61CA669E"/>
    <w:rsid w:val="627C57D0"/>
    <w:rsid w:val="64621C89"/>
    <w:rsid w:val="64A62E9E"/>
    <w:rsid w:val="64E00DCC"/>
    <w:rsid w:val="667D4C9C"/>
    <w:rsid w:val="66BE524A"/>
    <w:rsid w:val="67AE41F8"/>
    <w:rsid w:val="690E6E4F"/>
    <w:rsid w:val="6AB44E7F"/>
    <w:rsid w:val="6E594821"/>
    <w:rsid w:val="6E6C5EE3"/>
    <w:rsid w:val="6EF72DF8"/>
    <w:rsid w:val="6FFD748E"/>
    <w:rsid w:val="704D2448"/>
    <w:rsid w:val="735A2A66"/>
    <w:rsid w:val="73B85E3C"/>
    <w:rsid w:val="73BC0A05"/>
    <w:rsid w:val="7A300C65"/>
    <w:rsid w:val="7BD34D7B"/>
    <w:rsid w:val="7F1674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napToGrid w:val="0"/>
      <w:spacing w:beforeLines="50" w:afterLines="50" w:line="360" w:lineRule="auto"/>
      <w:ind w:firstLine="482" w:firstLineChars="200"/>
      <w:outlineLvl w:val="2"/>
    </w:pPr>
    <w:rPr>
      <w:rFonts w:hAnsi="宋体" w:eastAsia="黑体"/>
      <w:b/>
      <w:bCs/>
      <w:color w:val="FF0000"/>
      <w:sz w:val="28"/>
      <w:szCs w:val="20"/>
    </w:rPr>
  </w:style>
  <w:style w:type="paragraph" w:styleId="5">
    <w:name w:val="heading 4"/>
    <w:basedOn w:val="1"/>
    <w:next w:val="1"/>
    <w:unhideWhenUsed/>
    <w:qFormat/>
    <w:uiPriority w:val="0"/>
    <w:pPr>
      <w:keepNext/>
      <w:keepLines/>
      <w:snapToGrid w:val="0"/>
      <w:spacing w:beforeLines="25" w:afterLines="25" w:line="360" w:lineRule="auto"/>
      <w:ind w:firstLine="562" w:firstLineChars="200"/>
      <w:outlineLvl w:val="3"/>
    </w:pPr>
    <w:rPr>
      <w:rFonts w:ascii="Cambria" w:hAnsi="Cambria" w:eastAsia="仿宋_GB2312"/>
      <w:b/>
      <w:bCs/>
      <w:sz w:val="28"/>
      <w:szCs w:val="28"/>
    </w:rPr>
  </w:style>
  <w:style w:type="character" w:default="1" w:styleId="14">
    <w:name w:val="Default Paragraph Font"/>
    <w:unhideWhenUsed/>
    <w:qFormat/>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6">
    <w:name w:val="caption"/>
    <w:basedOn w:val="1"/>
    <w:next w:val="1"/>
    <w:unhideWhenUsed/>
    <w:qFormat/>
    <w:uiPriority w:val="0"/>
    <w:pPr>
      <w:ind w:left="420"/>
      <w:jc w:val="center"/>
    </w:pPr>
    <w:rPr>
      <w:rFonts w:ascii="Calibri" w:hAnsi="Calibri" w:eastAsia="Calibri"/>
      <w:b/>
      <w:sz w:val="18"/>
      <w:szCs w:val="18"/>
    </w:rPr>
  </w:style>
  <w:style w:type="paragraph" w:styleId="7">
    <w:name w:val="toc 3"/>
    <w:basedOn w:val="1"/>
    <w:next w:val="1"/>
    <w:qFormat/>
    <w:uiPriority w:val="0"/>
    <w:pPr>
      <w:ind w:left="840" w:leftChars="400"/>
    </w:pPr>
  </w:style>
  <w:style w:type="paragraph" w:styleId="8">
    <w:name w:val="Balloon Text"/>
    <w:basedOn w:val="1"/>
    <w:link w:val="2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Autospacing="1" w:afterAutospacing="1"/>
      <w:jc w:val="left"/>
    </w:pPr>
    <w:rPr>
      <w:rFonts w:cs="Times New Roman"/>
      <w:kern w:val="0"/>
      <w:sz w:val="24"/>
    </w:rPr>
  </w:style>
  <w:style w:type="character" w:styleId="15">
    <w:name w:val="Strong"/>
    <w:basedOn w:val="14"/>
    <w:qFormat/>
    <w:uiPriority w:val="0"/>
    <w:rPr>
      <w:b/>
    </w:rPr>
  </w:style>
  <w:style w:type="character" w:styleId="16">
    <w:name w:val="FollowedHyperlink"/>
    <w:basedOn w:val="14"/>
    <w:qFormat/>
    <w:uiPriority w:val="0"/>
    <w:rPr>
      <w:color w:val="800080"/>
      <w:u w:val="single"/>
    </w:rPr>
  </w:style>
  <w:style w:type="character" w:styleId="17">
    <w:name w:val="Hyperlink"/>
    <w:qFormat/>
    <w:uiPriority w:val="0"/>
    <w:rPr>
      <w:color w:val="0000FF"/>
      <w:u w:val="single"/>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0">
    <w:name w:val="样式 标题 3 + (西文) 黑体 加粗 首行缩进:  2 字符 段前: 0.25 行 段后: 0.25 行 行距: ..."/>
    <w:basedOn w:val="4"/>
    <w:qFormat/>
    <w:uiPriority w:val="0"/>
    <w:pPr>
      <w:spacing w:beforeLines="25" w:afterLines="25"/>
      <w:ind w:firstLine="602"/>
      <w:jc w:val="left"/>
    </w:pPr>
    <w:rPr>
      <w:rFonts w:ascii="黑体" w:hAnsi="黑体"/>
      <w:color w:val="000000"/>
      <w:kern w:val="0"/>
      <w:sz w:val="30"/>
      <w:szCs w:val="30"/>
    </w:rPr>
  </w:style>
  <w:style w:type="paragraph" w:customStyle="1" w:styleId="21">
    <w:name w:val="样式1"/>
    <w:basedOn w:val="1"/>
    <w:qFormat/>
    <w:uiPriority w:val="0"/>
    <w:rPr>
      <w:b/>
    </w:rPr>
  </w:style>
  <w:style w:type="paragraph" w:customStyle="1" w:styleId="22">
    <w:name w:val="列出段落1"/>
    <w:basedOn w:val="1"/>
    <w:qFormat/>
    <w:uiPriority w:val="34"/>
    <w:pPr>
      <w:ind w:firstLine="420" w:firstLineChars="200"/>
    </w:pPr>
  </w:style>
  <w:style w:type="character" w:customStyle="1" w:styleId="23">
    <w:name w:val="标题 1 Char"/>
    <w:link w:val="2"/>
    <w:qFormat/>
    <w:uiPriority w:val="0"/>
    <w:rPr>
      <w:rFonts w:hint="eastAsia" w:ascii="宋体" w:hAnsi="宋体" w:eastAsia="宋体" w:cs="宋体"/>
      <w:b/>
      <w:kern w:val="44"/>
      <w:sz w:val="48"/>
      <w:szCs w:val="48"/>
      <w:lang w:val="en-US" w:eastAsia="zh-CN"/>
    </w:rPr>
  </w:style>
  <w:style w:type="character" w:customStyle="1" w:styleId="24">
    <w:name w:val="批注框文本 Char"/>
    <w:basedOn w:val="14"/>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image" Target="media/image50.emf"/><Relationship Id="rId82" Type="http://schemas.openxmlformats.org/officeDocument/2006/relationships/image" Target="media/image49.jpeg"/><Relationship Id="rId81" Type="http://schemas.openxmlformats.org/officeDocument/2006/relationships/image" Target="media/image48.jpeg"/><Relationship Id="rId80" Type="http://schemas.openxmlformats.org/officeDocument/2006/relationships/image" Target="media/image47.jpeg"/><Relationship Id="rId8" Type="http://schemas.openxmlformats.org/officeDocument/2006/relationships/image" Target="media/image4.png"/><Relationship Id="rId79" Type="http://schemas.openxmlformats.org/officeDocument/2006/relationships/image" Target="media/image46.jpeg"/><Relationship Id="rId78" Type="http://schemas.openxmlformats.org/officeDocument/2006/relationships/chart" Target="charts/chart25.xml"/><Relationship Id="rId77" Type="http://schemas.openxmlformats.org/officeDocument/2006/relationships/image" Target="media/image45.jpeg"/><Relationship Id="rId76" Type="http://schemas.openxmlformats.org/officeDocument/2006/relationships/image" Target="media/image44.jpeg"/><Relationship Id="rId75" Type="http://schemas.openxmlformats.org/officeDocument/2006/relationships/image" Target="media/image43.jpeg"/><Relationship Id="rId74" Type="http://schemas.openxmlformats.org/officeDocument/2006/relationships/image" Target="media/image42.jpeg"/><Relationship Id="rId73" Type="http://schemas.openxmlformats.org/officeDocument/2006/relationships/image" Target="media/image41.png"/><Relationship Id="rId72" Type="http://schemas.openxmlformats.org/officeDocument/2006/relationships/image" Target="media/image40.jpeg"/><Relationship Id="rId71" Type="http://schemas.openxmlformats.org/officeDocument/2006/relationships/image" Target="media/image39.jpeg"/><Relationship Id="rId70" Type="http://schemas.openxmlformats.org/officeDocument/2006/relationships/image" Target="media/image38.jpeg"/><Relationship Id="rId7" Type="http://schemas.openxmlformats.org/officeDocument/2006/relationships/theme" Target="theme/theme1.xml"/><Relationship Id="rId69" Type="http://schemas.openxmlformats.org/officeDocument/2006/relationships/chart" Target="charts/chart24.xml"/><Relationship Id="rId68" Type="http://schemas.openxmlformats.org/officeDocument/2006/relationships/chart" Target="charts/chart23.xml"/><Relationship Id="rId67" Type="http://schemas.openxmlformats.org/officeDocument/2006/relationships/chart" Target="charts/chart22.xml"/><Relationship Id="rId66" Type="http://schemas.openxmlformats.org/officeDocument/2006/relationships/chart" Target="charts/chart21.xml"/><Relationship Id="rId65" Type="http://schemas.openxmlformats.org/officeDocument/2006/relationships/image" Target="media/image37.jpeg"/><Relationship Id="rId64" Type="http://schemas.openxmlformats.org/officeDocument/2006/relationships/image" Target="media/image36.jpeg"/><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footer" Target="footer3.xml"/><Relationship Id="rId59" Type="http://schemas.openxmlformats.org/officeDocument/2006/relationships/image" Target="media/image31.jpeg"/><Relationship Id="rId58" Type="http://schemas.openxmlformats.org/officeDocument/2006/relationships/hyperlink" Target="http://zjjt.hnhgzy.com/upload/resources/image/2017/06/13/47120.jpg" TargetMode="External"/><Relationship Id="rId57" Type="http://schemas.openxmlformats.org/officeDocument/2006/relationships/image" Target="media/image30.png"/><Relationship Id="rId56" Type="http://schemas.openxmlformats.org/officeDocument/2006/relationships/image" Target="media/image29.jpeg"/><Relationship Id="rId55" Type="http://schemas.openxmlformats.org/officeDocument/2006/relationships/chart" Target="charts/chart20.xml"/><Relationship Id="rId54" Type="http://schemas.openxmlformats.org/officeDocument/2006/relationships/chart" Target="charts/chart19.xml"/><Relationship Id="rId53" Type="http://schemas.openxmlformats.org/officeDocument/2006/relationships/image" Target="media/image28.jpeg"/><Relationship Id="rId52" Type="http://schemas.openxmlformats.org/officeDocument/2006/relationships/hyperlink" Target="http://www.hnhgzy.com/upload/resources/image/2017/06/11/46855.jpg" TargetMode="External"/><Relationship Id="rId51" Type="http://schemas.openxmlformats.org/officeDocument/2006/relationships/chart" Target="charts/chart18.xml"/><Relationship Id="rId50" Type="http://schemas.openxmlformats.org/officeDocument/2006/relationships/image" Target="media/image27.jpeg"/><Relationship Id="rId5" Type="http://schemas.openxmlformats.org/officeDocument/2006/relationships/footer" Target="footer2.xml"/><Relationship Id="rId49" Type="http://schemas.openxmlformats.org/officeDocument/2006/relationships/image" Target="media/image26.jpeg"/><Relationship Id="rId48" Type="http://schemas.openxmlformats.org/officeDocument/2006/relationships/chart" Target="charts/chart17.xml"/><Relationship Id="rId47" Type="http://schemas.openxmlformats.org/officeDocument/2006/relationships/chart" Target="charts/chart16.xml"/><Relationship Id="rId46" Type="http://schemas.openxmlformats.org/officeDocument/2006/relationships/chart" Target="charts/chart15.xml"/><Relationship Id="rId45" Type="http://schemas.openxmlformats.org/officeDocument/2006/relationships/chart" Target="charts/chart14.xml"/><Relationship Id="rId44" Type="http://schemas.openxmlformats.org/officeDocument/2006/relationships/chart" Target="charts/chart13.xml"/><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footer" Target="footer1.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hyperlink" Target="http://www.hnhgzy.com/upload/resources/image/2017/11/23/50062.jpg" TargetMode="External"/><Relationship Id="rId36" Type="http://schemas.openxmlformats.org/officeDocument/2006/relationships/image" Target="media/image19.jpeg"/><Relationship Id="rId35" Type="http://schemas.openxmlformats.org/officeDocument/2006/relationships/image" Target="media/image18.png"/><Relationship Id="rId34" Type="http://schemas.openxmlformats.org/officeDocument/2006/relationships/image" Target="media/image17.jpeg"/><Relationship Id="rId33" Type="http://schemas.openxmlformats.org/officeDocument/2006/relationships/chart" Target="charts/chart12.xml"/><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chart" Target="charts/chart11.xml"/><Relationship Id="rId28" Type="http://schemas.openxmlformats.org/officeDocument/2006/relationships/chart" Target="charts/chart10.xml"/><Relationship Id="rId27" Type="http://schemas.openxmlformats.org/officeDocument/2006/relationships/chart" Target="charts/chart9.xml"/><Relationship Id="rId26" Type="http://schemas.openxmlformats.org/officeDocument/2006/relationships/chart" Target="charts/chart8.xml"/><Relationship Id="rId25" Type="http://schemas.openxmlformats.org/officeDocument/2006/relationships/chart" Target="charts/chart7.xml"/><Relationship Id="rId24" Type="http://schemas.openxmlformats.org/officeDocument/2006/relationships/chart" Target="charts/chart6.xml"/><Relationship Id="rId23" Type="http://schemas.openxmlformats.org/officeDocument/2006/relationships/chart" Target="charts/chart5.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hyperlink" Target="http://www.hnhgzy.com/upload/resources/image/2017/12/04/50273.jpg" TargetMode="External"/><Relationship Id="rId18" Type="http://schemas.openxmlformats.org/officeDocument/2006/relationships/image" Target="media/image10.jpeg"/><Relationship Id="rId17" Type="http://schemas.openxmlformats.org/officeDocument/2006/relationships/chart" Target="charts/chart4.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image" Target="media/image7.png"/><Relationship Id="rId11" Type="http://schemas.openxmlformats.org/officeDocument/2006/relationships/chart" Target="charts/chart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30563;&#23548;&#20540;&#29677;&#8212;&#8212;&#21548;&#35838;&#27719;&#24635;\&#21548;&#35838;&#26126;&#32454;&#32479;&#3574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30563;&#23548;&#20540;&#29677;&#8212;&#8212;&#21548;&#35838;&#27719;&#24635;\&#21548;&#35838;&#26126;&#32454;&#32479;&#3574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017&#24180;\&#30465;&#32423;&#39033;&#30446;\&#36136;&#37327;&#24180;&#25253;&#65288;2018&#65289;\&#32032;&#26448;\&#20154;&#25165;&#22521;&#20859;&#36136;&#37327;&#24180;&#24230;&#25253;&#21578;&#65288;2018&#65289;&#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学院各专业群学生占比变化示意图</a:t>
            </a:r>
            <a:endParaRPr sz="1200" b="1"/>
          </a:p>
        </c:rich>
      </c:tx>
      <c:layout/>
      <c:overlay val="0"/>
      <c:spPr>
        <a:noFill/>
        <a:ln>
          <a:noFill/>
        </a:ln>
        <a:effectLst/>
      </c:spPr>
    </c:title>
    <c:autoTitleDeleted val="0"/>
    <c:plotArea>
      <c:layout/>
      <c:barChart>
        <c:barDir val="col"/>
        <c:grouping val="clustered"/>
        <c:varyColors val="0"/>
        <c:ser>
          <c:idx val="0"/>
          <c:order val="0"/>
          <c:tx>
            <c:strRef>
              <c:f>'[人才培养质量年度报告（2018）图表.xls]Sheet1'!$C$1</c:f>
              <c:strCache>
                <c:ptCount val="1"/>
                <c:pt idx="0">
                  <c:v>2016年</c:v>
                </c:pt>
              </c:strCache>
            </c:strRef>
          </c:tx>
          <c:spPr>
            <a:solidFill>
              <a:schemeClr val="accent1"/>
            </a:solidFill>
            <a:ln>
              <a:noFill/>
            </a:ln>
            <a:effectLst/>
          </c:spPr>
          <c:invertIfNegative val="0"/>
          <c:dLbls>
            <c:delete val="1"/>
          </c:dLbls>
          <c:cat>
            <c:strRef>
              <c:f>'[人才培养质量年度报告（2018）图表.xls]Sheet1'!$B$2:$B$7</c:f>
              <c:strCache>
                <c:ptCount val="6"/>
                <c:pt idx="0">
                  <c:v>化工生产技术</c:v>
                </c:pt>
                <c:pt idx="1">
                  <c:v>化学与生物制药技术</c:v>
                </c:pt>
                <c:pt idx="2">
                  <c:v>化工自动化技术</c:v>
                </c:pt>
                <c:pt idx="3">
                  <c:v>化工装备制造技术</c:v>
                </c:pt>
                <c:pt idx="4">
                  <c:v>化工生产运营与管理</c:v>
                </c:pt>
                <c:pt idx="5">
                  <c:v>群外专业</c:v>
                </c:pt>
              </c:strCache>
            </c:strRef>
          </c:cat>
          <c:val>
            <c:numRef>
              <c:f>'[人才培养质量年度报告（2018）图表.xls]Sheet1'!$C$2:$C$7</c:f>
              <c:numCache>
                <c:formatCode>0.00%</c:formatCode>
                <c:ptCount val="6"/>
                <c:pt idx="0">
                  <c:v>0.2717</c:v>
                </c:pt>
                <c:pt idx="1">
                  <c:v>0.1567</c:v>
                </c:pt>
                <c:pt idx="2">
                  <c:v>0.1748</c:v>
                </c:pt>
                <c:pt idx="3">
                  <c:v>0.0539</c:v>
                </c:pt>
                <c:pt idx="4">
                  <c:v>0.1511</c:v>
                </c:pt>
                <c:pt idx="5">
                  <c:v>0.1918</c:v>
                </c:pt>
              </c:numCache>
            </c:numRef>
          </c:val>
        </c:ser>
        <c:ser>
          <c:idx val="1"/>
          <c:order val="1"/>
          <c:tx>
            <c:strRef>
              <c:f>'[人才培养质量年度报告（2018）图表.xls]Sheet1'!$D$1</c:f>
              <c:strCache>
                <c:ptCount val="1"/>
                <c:pt idx="0">
                  <c:v>2017年</c:v>
                </c:pt>
              </c:strCache>
            </c:strRef>
          </c:tx>
          <c:spPr>
            <a:solidFill>
              <a:schemeClr val="accent2"/>
            </a:solidFill>
            <a:ln>
              <a:noFill/>
            </a:ln>
            <a:effectLst/>
          </c:spPr>
          <c:invertIfNegative val="0"/>
          <c:dLbls>
            <c:delete val="1"/>
          </c:dLbls>
          <c:cat>
            <c:strRef>
              <c:f>'[人才培养质量年度报告（2018）图表.xls]Sheet1'!$B$2:$B$7</c:f>
              <c:strCache>
                <c:ptCount val="6"/>
                <c:pt idx="0">
                  <c:v>化工生产技术</c:v>
                </c:pt>
                <c:pt idx="1">
                  <c:v>化学与生物制药技术</c:v>
                </c:pt>
                <c:pt idx="2">
                  <c:v>化工自动化技术</c:v>
                </c:pt>
                <c:pt idx="3">
                  <c:v>化工装备制造技术</c:v>
                </c:pt>
                <c:pt idx="4">
                  <c:v>化工生产运营与管理</c:v>
                </c:pt>
                <c:pt idx="5">
                  <c:v>群外专业</c:v>
                </c:pt>
              </c:strCache>
            </c:strRef>
          </c:cat>
          <c:val>
            <c:numRef>
              <c:f>'[人才培养质量年度报告（2018）图表.xls]Sheet1'!$D$2:$D$7</c:f>
              <c:numCache>
                <c:formatCode>0.00%</c:formatCode>
                <c:ptCount val="6"/>
                <c:pt idx="0">
                  <c:v>0.2421</c:v>
                </c:pt>
                <c:pt idx="1">
                  <c:v>0.1729</c:v>
                </c:pt>
                <c:pt idx="2">
                  <c:v>0.2283</c:v>
                </c:pt>
                <c:pt idx="3">
                  <c:v>0.0593</c:v>
                </c:pt>
                <c:pt idx="4">
                  <c:v>0.2348</c:v>
                </c:pt>
                <c:pt idx="5">
                  <c:v>0.0627</c:v>
                </c:pt>
              </c:numCache>
            </c:numRef>
          </c:val>
        </c:ser>
        <c:dLbls>
          <c:showLegendKey val="0"/>
          <c:showVal val="0"/>
          <c:showCatName val="0"/>
          <c:showSerName val="0"/>
          <c:showPercent val="0"/>
          <c:showBubbleSize val="0"/>
        </c:dLbls>
        <c:gapWidth val="219"/>
        <c:overlap val="-27"/>
        <c:axId val="136340992"/>
        <c:axId val="136348032"/>
      </c:barChart>
      <c:catAx>
        <c:axId val="13634099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348032"/>
        <c:crosses val="autoZero"/>
        <c:auto val="1"/>
        <c:lblAlgn val="ctr"/>
        <c:lblOffset val="100"/>
        <c:noMultiLvlLbl val="0"/>
      </c:catAx>
      <c:valAx>
        <c:axId val="1363480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3409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学院近五年省级以上学生技能竞赛获奖情况</a:t>
            </a:r>
            <a:endParaRPr sz="1200" b="1"/>
          </a:p>
        </c:rich>
      </c:tx>
      <c:layout/>
      <c:overlay val="0"/>
      <c:spPr>
        <a:noFill/>
        <a:ln>
          <a:noFill/>
        </a:ln>
        <a:effectLst/>
      </c:spPr>
    </c:title>
    <c:autoTitleDeleted val="0"/>
    <c:plotArea>
      <c:layout/>
      <c:barChart>
        <c:barDir val="col"/>
        <c:grouping val="clustered"/>
        <c:varyColors val="0"/>
        <c:ser>
          <c:idx val="0"/>
          <c:order val="0"/>
          <c:tx>
            <c:strRef>
              <c:f>'[人才培养质量年度报告（2018）图表.xls]Sheet1'!$D$98</c:f>
              <c:strCache>
                <c:ptCount val="1"/>
                <c:pt idx="0">
                  <c:v>团体获奖（项）</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'[人才培养质量年度报告（2018）图表.xls]Sheet1'!$C$99:$C$103</c:f>
              <c:strCache>
                <c:ptCount val="5"/>
                <c:pt idx="0">
                  <c:v>2013年</c:v>
                </c:pt>
                <c:pt idx="1">
                  <c:v>2014年</c:v>
                </c:pt>
                <c:pt idx="2">
                  <c:v>2015年</c:v>
                </c:pt>
                <c:pt idx="3">
                  <c:v>2016年</c:v>
                </c:pt>
                <c:pt idx="4">
                  <c:v>2017年</c:v>
                </c:pt>
              </c:strCache>
            </c:strRef>
          </c:cat>
          <c:val>
            <c:numRef>
              <c:f>'[人才培养质量年度报告（2018）图表.xls]Sheet1'!$D$99:$D$103</c:f>
              <c:numCache>
                <c:formatCode>General</c:formatCode>
                <c:ptCount val="5"/>
                <c:pt idx="0">
                  <c:v>23</c:v>
                </c:pt>
                <c:pt idx="1">
                  <c:v>24</c:v>
                </c:pt>
                <c:pt idx="2">
                  <c:v>27</c:v>
                </c:pt>
                <c:pt idx="3">
                  <c:v>28</c:v>
                </c:pt>
                <c:pt idx="4">
                  <c:v>31</c:v>
                </c:pt>
              </c:numCache>
            </c:numRef>
          </c:val>
        </c:ser>
        <c:ser>
          <c:idx val="1"/>
          <c:order val="1"/>
          <c:tx>
            <c:strRef>
              <c:f>'[人才培养质量年度报告（2018）图表.xls]Sheet1'!$E$98</c:f>
              <c:strCache>
                <c:ptCount val="1"/>
                <c:pt idx="0">
                  <c:v>个人获奖（项）</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'[人才培养质量年度报告（2018）图表.xls]Sheet1'!$C$99:$C$103</c:f>
              <c:strCache>
                <c:ptCount val="5"/>
                <c:pt idx="0">
                  <c:v>2013年</c:v>
                </c:pt>
                <c:pt idx="1">
                  <c:v>2014年</c:v>
                </c:pt>
                <c:pt idx="2">
                  <c:v>2015年</c:v>
                </c:pt>
                <c:pt idx="3">
                  <c:v>2016年</c:v>
                </c:pt>
                <c:pt idx="4">
                  <c:v>2017年</c:v>
                </c:pt>
              </c:strCache>
            </c:strRef>
          </c:cat>
          <c:val>
            <c:numRef>
              <c:f>'[人才培养质量年度报告（2018）图表.xls]Sheet1'!$E$99:$E$103</c:f>
              <c:numCache>
                <c:formatCode>General</c:formatCode>
                <c:ptCount val="5"/>
                <c:pt idx="0">
                  <c:v>76</c:v>
                </c:pt>
                <c:pt idx="1">
                  <c:v>78</c:v>
                </c:pt>
                <c:pt idx="2">
                  <c:v>76</c:v>
                </c:pt>
                <c:pt idx="3">
                  <c:v>81</c:v>
                </c:pt>
                <c:pt idx="4">
                  <c:v>93</c:v>
                </c:pt>
              </c:numCache>
            </c:numRef>
          </c:val>
        </c:ser>
        <c:ser>
          <c:idx val="2"/>
          <c:order val="2"/>
          <c:tx>
            <c:strRef>
              <c:f>'[人才培养质量年度报告（2018）图表.xls]Sheet1'!$F$98</c:f>
              <c:strCache>
                <c:ptCount val="1"/>
                <c:pt idx="0">
                  <c:v>个人获奖（人次）</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'[人才培养质量年度报告（2018）图表.xls]Sheet1'!$C$99:$C$103</c:f>
              <c:strCache>
                <c:ptCount val="5"/>
                <c:pt idx="0">
                  <c:v>2013年</c:v>
                </c:pt>
                <c:pt idx="1">
                  <c:v>2014年</c:v>
                </c:pt>
                <c:pt idx="2">
                  <c:v>2015年</c:v>
                </c:pt>
                <c:pt idx="3">
                  <c:v>2016年</c:v>
                </c:pt>
                <c:pt idx="4">
                  <c:v>2017年</c:v>
                </c:pt>
              </c:strCache>
            </c:strRef>
          </c:cat>
          <c:val>
            <c:numRef>
              <c:f>'[人才培养质量年度报告（2018）图表.xls]Sheet1'!$F$99:$F$103</c:f>
              <c:numCache>
                <c:formatCode>General</c:formatCode>
                <c:ptCount val="5"/>
                <c:pt idx="0">
                  <c:v>218</c:v>
                </c:pt>
                <c:pt idx="1">
                  <c:v>244</c:v>
                </c:pt>
                <c:pt idx="2">
                  <c:v>219</c:v>
                </c:pt>
                <c:pt idx="3">
                  <c:v>251</c:v>
                </c:pt>
                <c:pt idx="4">
                  <c:v>273</c:v>
                </c:pt>
              </c:numCache>
            </c:numRef>
          </c:val>
        </c:ser>
        <c:dLbls>
          <c:showLegendKey val="0"/>
          <c:showVal val="1"/>
          <c:showCatName val="0"/>
          <c:showSerName val="0"/>
          <c:showPercent val="0"/>
          <c:showBubbleSize val="0"/>
        </c:dLbls>
        <c:gapWidth val="219"/>
        <c:overlap val="-27"/>
        <c:axId val="188680832"/>
        <c:axId val="188805504"/>
      </c:barChart>
      <c:catAx>
        <c:axId val="18868083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8805504"/>
        <c:crosses val="autoZero"/>
        <c:auto val="1"/>
        <c:lblAlgn val="ctr"/>
        <c:lblOffset val="100"/>
        <c:noMultiLvlLbl val="0"/>
      </c:catAx>
      <c:valAx>
        <c:axId val="1888055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868083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学院毕业生获得高级职业资格人数  （人）</a:t>
            </a:r>
            <a:endParaRPr sz="1200" b="1"/>
          </a:p>
        </c:rich>
      </c:tx>
      <c:layout/>
      <c:overlay val="0"/>
      <c:spPr>
        <a:noFill/>
        <a:ln>
          <a:noFill/>
        </a:ln>
        <a:effectLst/>
      </c:spPr>
    </c:title>
    <c:autoTitleDeleted val="0"/>
    <c:plotArea>
      <c:layout/>
      <c:lineChart>
        <c:grouping val="stacke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'[人才培养质量年度报告（2018）图表.xls]Sheet1'!$C$106:$C$110</c:f>
              <c:strCache>
                <c:ptCount val="5"/>
                <c:pt idx="0">
                  <c:v>2013届</c:v>
                </c:pt>
                <c:pt idx="1">
                  <c:v>2014届</c:v>
                </c:pt>
                <c:pt idx="2">
                  <c:v>2015届</c:v>
                </c:pt>
                <c:pt idx="3">
                  <c:v>2016届</c:v>
                </c:pt>
                <c:pt idx="4">
                  <c:v>2017届</c:v>
                </c:pt>
              </c:strCache>
            </c:strRef>
          </c:cat>
          <c:val>
            <c:numRef>
              <c:f>'[人才培养质量年度报告（2018）图表.xls]Sheet1'!$D$106:$D$110</c:f>
              <c:numCache>
                <c:formatCode>General</c:formatCode>
                <c:ptCount val="5"/>
                <c:pt idx="0">
                  <c:v>74</c:v>
                </c:pt>
                <c:pt idx="1">
                  <c:v>91</c:v>
                </c:pt>
                <c:pt idx="2">
                  <c:v>153</c:v>
                </c:pt>
                <c:pt idx="3">
                  <c:v>153</c:v>
                </c:pt>
                <c:pt idx="4">
                  <c:v>217</c:v>
                </c:pt>
              </c:numCache>
            </c:numRef>
          </c:val>
          <c:smooth val="0"/>
        </c:ser>
        <c:dLbls>
          <c:showLegendKey val="0"/>
          <c:showVal val="1"/>
          <c:showCatName val="0"/>
          <c:showSerName val="0"/>
          <c:showPercent val="0"/>
          <c:showBubbleSize val="0"/>
        </c:dLbls>
        <c:marker val="1"/>
        <c:smooth val="0"/>
        <c:axId val="188912000"/>
        <c:axId val="188913536"/>
      </c:lineChart>
      <c:catAx>
        <c:axId val="18891200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8913536"/>
        <c:crosses val="autoZero"/>
        <c:auto val="1"/>
        <c:lblAlgn val="ctr"/>
        <c:lblOffset val="100"/>
        <c:noMultiLvlLbl val="0"/>
      </c:catAx>
      <c:valAx>
        <c:axId val="1889135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89120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省级以上科技作品获奖   （项）</a:t>
            </a:r>
            <a:endParaRPr sz="1200"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'[人才培养质量年度报告（2018）图表.xls]Sheet1'!$C$112:$C$116</c:f>
              <c:strCache>
                <c:ptCount val="5"/>
                <c:pt idx="0">
                  <c:v>学院</c:v>
                </c:pt>
                <c:pt idx="1">
                  <c:v>全国示范</c:v>
                </c:pt>
                <c:pt idx="2">
                  <c:v>省示范</c:v>
                </c:pt>
                <c:pt idx="3">
                  <c:v>全省平均</c:v>
                </c:pt>
                <c:pt idx="4">
                  <c:v>同类院校</c:v>
                </c:pt>
              </c:strCache>
            </c:strRef>
          </c:cat>
          <c:val>
            <c:numRef>
              <c:f>'[人才培养质量年度报告（2018）图表.xls]Sheet1'!$D$112:$D$116</c:f>
              <c:numCache>
                <c:formatCode>General</c:formatCode>
                <c:ptCount val="5"/>
                <c:pt idx="0">
                  <c:v>11</c:v>
                </c:pt>
                <c:pt idx="1">
                  <c:v>5</c:v>
                </c:pt>
                <c:pt idx="2">
                  <c:v>2</c:v>
                </c:pt>
                <c:pt idx="3">
                  <c:v>1</c:v>
                </c:pt>
                <c:pt idx="4">
                  <c:v>1</c:v>
                </c:pt>
              </c:numCache>
            </c:numRef>
          </c:val>
        </c:ser>
        <c:dLbls>
          <c:showLegendKey val="0"/>
          <c:showVal val="1"/>
          <c:showCatName val="0"/>
          <c:showSerName val="0"/>
          <c:showPercent val="0"/>
          <c:showBubbleSize val="0"/>
        </c:dLbls>
        <c:gapWidth val="219"/>
        <c:overlap val="-27"/>
        <c:axId val="188929536"/>
        <c:axId val="188931072"/>
      </c:barChart>
      <c:catAx>
        <c:axId val="18892953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8931072"/>
        <c:crosses val="autoZero"/>
        <c:auto val="1"/>
        <c:lblAlgn val="ctr"/>
        <c:lblOffset val="100"/>
        <c:noMultiLvlLbl val="0"/>
      </c:catAx>
      <c:valAx>
        <c:axId val="1889310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892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具有高级职务教师占专任教师的比例  （</a:t>
            </a:r>
            <a:r>
              <a:rPr lang="en-US" altLang="zh-CN" sz="1200" b="1"/>
              <a:t>%</a:t>
            </a:r>
            <a:r>
              <a:rPr sz="1200" b="1"/>
              <a:t>）</a:t>
            </a:r>
            <a:endParaRPr sz="1200"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'[人才培养质量年度报告（2018）图表.xls]Sheet1'!$C$129:$C$133</c:f>
              <c:strCache>
                <c:ptCount val="5"/>
                <c:pt idx="0">
                  <c:v>学院</c:v>
                </c:pt>
                <c:pt idx="1">
                  <c:v>国家示范中位数</c:v>
                </c:pt>
                <c:pt idx="2">
                  <c:v>省示范中位数</c:v>
                </c:pt>
                <c:pt idx="3">
                  <c:v>全国中位数</c:v>
                </c:pt>
                <c:pt idx="4">
                  <c:v>全省中位数</c:v>
                </c:pt>
              </c:strCache>
            </c:strRef>
          </c:cat>
          <c:val>
            <c:numRef>
              <c:f>'[人才培养质量年度报告（2018）图表.xls]Sheet1'!$D$129:$D$133</c:f>
              <c:numCache>
                <c:formatCode>General</c:formatCode>
                <c:ptCount val="5"/>
                <c:pt idx="0">
                  <c:v>41.88</c:v>
                </c:pt>
                <c:pt idx="1">
                  <c:v>34.93</c:v>
                </c:pt>
                <c:pt idx="2">
                  <c:v>31.86</c:v>
                </c:pt>
                <c:pt idx="3">
                  <c:v>28.7</c:v>
                </c:pt>
                <c:pt idx="4">
                  <c:v>30.35</c:v>
                </c:pt>
              </c:numCache>
            </c:numRef>
          </c:val>
        </c:ser>
        <c:dLbls>
          <c:showLegendKey val="0"/>
          <c:showVal val="1"/>
          <c:showCatName val="0"/>
          <c:showSerName val="0"/>
          <c:showPercent val="0"/>
          <c:showBubbleSize val="0"/>
        </c:dLbls>
        <c:gapWidth val="219"/>
        <c:overlap val="-27"/>
        <c:axId val="191466112"/>
        <c:axId val="191484288"/>
      </c:barChart>
      <c:catAx>
        <c:axId val="19146611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1484288"/>
        <c:crosses val="autoZero"/>
        <c:auto val="1"/>
        <c:lblAlgn val="ctr"/>
        <c:lblOffset val="100"/>
        <c:noMultiLvlLbl val="0"/>
      </c:catAx>
      <c:valAx>
        <c:axId val="19148428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146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具有双师素质专任教师比例  （</a:t>
            </a:r>
            <a:r>
              <a:rPr lang="en-US" altLang="zh-CN" sz="1200" b="1"/>
              <a:t>%</a:t>
            </a:r>
            <a:r>
              <a:rPr sz="1200" b="1"/>
              <a:t>）</a:t>
            </a:r>
            <a:endParaRPr sz="1200"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'[人才培养质量年度报告（2018）图表.xls]Sheet1'!$C$136:$C$140</c:f>
              <c:strCache>
                <c:ptCount val="5"/>
                <c:pt idx="0">
                  <c:v>学院</c:v>
                </c:pt>
                <c:pt idx="1">
                  <c:v>国家示范中位数</c:v>
                </c:pt>
                <c:pt idx="2">
                  <c:v>省示范中位数</c:v>
                </c:pt>
                <c:pt idx="3">
                  <c:v>全国中位数</c:v>
                </c:pt>
                <c:pt idx="4">
                  <c:v>全省中位数</c:v>
                </c:pt>
              </c:strCache>
            </c:strRef>
          </c:cat>
          <c:val>
            <c:numRef>
              <c:f>'[人才培养质量年度报告（2018）图表.xls]Sheet1'!$D$136:$D$140</c:f>
              <c:numCache>
                <c:formatCode>General</c:formatCode>
                <c:ptCount val="5"/>
                <c:pt idx="0">
                  <c:v>75.13</c:v>
                </c:pt>
                <c:pt idx="1">
                  <c:v>69.2</c:v>
                </c:pt>
                <c:pt idx="2">
                  <c:v>68.12</c:v>
                </c:pt>
                <c:pt idx="3">
                  <c:v>56.75</c:v>
                </c:pt>
                <c:pt idx="4">
                  <c:v>63.41</c:v>
                </c:pt>
              </c:numCache>
            </c:numRef>
          </c:val>
        </c:ser>
        <c:dLbls>
          <c:showLegendKey val="0"/>
          <c:showVal val="1"/>
          <c:showCatName val="0"/>
          <c:showSerName val="0"/>
          <c:showPercent val="0"/>
          <c:showBubbleSize val="0"/>
        </c:dLbls>
        <c:gapWidth val="219"/>
        <c:overlap val="-27"/>
        <c:axId val="194871296"/>
        <c:axId val="194872832"/>
      </c:barChart>
      <c:catAx>
        <c:axId val="19487129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872832"/>
        <c:crosses val="autoZero"/>
        <c:auto val="1"/>
        <c:lblAlgn val="ctr"/>
        <c:lblOffset val="100"/>
        <c:noMultiLvlLbl val="0"/>
      </c:catAx>
      <c:valAx>
        <c:axId val="1948728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87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具有博士学位专任教师比例  （</a:t>
            </a:r>
            <a:r>
              <a:rPr lang="en-US" altLang="zh-CN" sz="1200" b="1"/>
              <a:t>%</a:t>
            </a:r>
            <a:r>
              <a:rPr sz="1200" b="1"/>
              <a:t>）</a:t>
            </a:r>
            <a:endParaRPr sz="1200"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'[人才培养质量年度报告（2018）图表.xls]Sheet1'!$C$147:$C$151</c:f>
              <c:strCache>
                <c:ptCount val="5"/>
                <c:pt idx="0">
                  <c:v>学院</c:v>
                </c:pt>
                <c:pt idx="1">
                  <c:v>国家示范中位数</c:v>
                </c:pt>
                <c:pt idx="2">
                  <c:v>省示范中位数</c:v>
                </c:pt>
                <c:pt idx="3">
                  <c:v>全国中位数</c:v>
                </c:pt>
                <c:pt idx="4">
                  <c:v>全省中位数</c:v>
                </c:pt>
              </c:strCache>
            </c:strRef>
          </c:cat>
          <c:val>
            <c:numRef>
              <c:f>'[人才培养质量年度报告（2018）图表.xls]Sheet1'!$D$147:$D$151</c:f>
              <c:numCache>
                <c:formatCode>General</c:formatCode>
                <c:ptCount val="5"/>
                <c:pt idx="0">
                  <c:v>4.71</c:v>
                </c:pt>
                <c:pt idx="1">
                  <c:v>1.93</c:v>
                </c:pt>
                <c:pt idx="2">
                  <c:v>1.23</c:v>
                </c:pt>
                <c:pt idx="3">
                  <c:v>0.85</c:v>
                </c:pt>
                <c:pt idx="4">
                  <c:v>0.83</c:v>
                </c:pt>
              </c:numCache>
            </c:numRef>
          </c:val>
        </c:ser>
        <c:dLbls>
          <c:showLegendKey val="0"/>
          <c:showVal val="1"/>
          <c:showCatName val="0"/>
          <c:showSerName val="0"/>
          <c:showPercent val="0"/>
          <c:showBubbleSize val="0"/>
        </c:dLbls>
        <c:gapWidth val="219"/>
        <c:overlap val="-27"/>
        <c:axId val="194888832"/>
        <c:axId val="194890368"/>
      </c:barChart>
      <c:catAx>
        <c:axId val="19488883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890368"/>
        <c:crosses val="autoZero"/>
        <c:auto val="1"/>
        <c:lblAlgn val="ctr"/>
        <c:lblOffset val="100"/>
        <c:noMultiLvlLbl val="0"/>
      </c:catAx>
      <c:valAx>
        <c:axId val="1948903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88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获技术专利专任教师占比  （</a:t>
            </a:r>
            <a:r>
              <a:rPr lang="en-US" altLang="zh-CN" sz="1200" b="1"/>
              <a:t>%</a:t>
            </a:r>
            <a:r>
              <a:rPr sz="1200" b="1"/>
              <a:t>）</a:t>
            </a:r>
            <a:endParaRPr sz="1200"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'[人才培养质量年度报告（2018）图表.xls]Sheet1'!$C$153:$C$157</c:f>
              <c:strCache>
                <c:ptCount val="5"/>
                <c:pt idx="0">
                  <c:v>学院</c:v>
                </c:pt>
                <c:pt idx="1">
                  <c:v>国家示范中位数</c:v>
                </c:pt>
                <c:pt idx="2">
                  <c:v>省示范中位数</c:v>
                </c:pt>
                <c:pt idx="3">
                  <c:v>全国中位数</c:v>
                </c:pt>
                <c:pt idx="4">
                  <c:v>全省中位数</c:v>
                </c:pt>
              </c:strCache>
            </c:strRef>
          </c:cat>
          <c:val>
            <c:numRef>
              <c:f>'[人才培养质量年度报告（2018）图表.xls]Sheet1'!$D$153:$D$157</c:f>
              <c:numCache>
                <c:formatCode>General</c:formatCode>
                <c:ptCount val="5"/>
                <c:pt idx="0">
                  <c:v>12.83</c:v>
                </c:pt>
                <c:pt idx="1">
                  <c:v>6.5</c:v>
                </c:pt>
                <c:pt idx="2">
                  <c:v>3.91</c:v>
                </c:pt>
                <c:pt idx="3">
                  <c:v>1.49</c:v>
                </c:pt>
                <c:pt idx="4">
                  <c:v>2.89</c:v>
                </c:pt>
              </c:numCache>
            </c:numRef>
          </c:val>
        </c:ser>
        <c:dLbls>
          <c:showLegendKey val="0"/>
          <c:showVal val="1"/>
          <c:showCatName val="0"/>
          <c:showSerName val="0"/>
          <c:showPercent val="0"/>
          <c:showBubbleSize val="0"/>
        </c:dLbls>
        <c:gapWidth val="219"/>
        <c:overlap val="-27"/>
        <c:axId val="194984192"/>
        <c:axId val="194990080"/>
      </c:barChart>
      <c:catAx>
        <c:axId val="19498419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990080"/>
        <c:crosses val="autoZero"/>
        <c:auto val="1"/>
        <c:lblAlgn val="ctr"/>
        <c:lblOffset val="100"/>
        <c:noMultiLvlLbl val="0"/>
      </c:catAx>
      <c:valAx>
        <c:axId val="1949900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98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湖南省科教联合自然科学基金项目立项情况  （项）</a:t>
            </a:r>
            <a:endParaRPr sz="1200" b="1"/>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'[人才培养质量年度报告（2018）图表.xls]Sheet1'!$C$159:$C$160</c:f>
              <c:strCache>
                <c:ptCount val="2"/>
                <c:pt idx="0">
                  <c:v>全省立项总数</c:v>
                </c:pt>
                <c:pt idx="1">
                  <c:v>学院立项数</c:v>
                </c:pt>
              </c:strCache>
            </c:strRef>
          </c:cat>
          <c:val>
            <c:numRef>
              <c:f>'[人才培养质量年度报告（2018）图表.xls]Sheet1'!$D$159:$D$160</c:f>
              <c:numCache>
                <c:formatCode>General</c:formatCode>
                <c:ptCount val="2"/>
                <c:pt idx="0">
                  <c:v>65</c:v>
                </c:pt>
                <c:pt idx="1">
                  <c:v>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2017学年兼职教师课酬总额  （万元）</a:t>
            </a:r>
            <a:endParaRPr sz="1200" b="1"/>
          </a:p>
        </c:rich>
      </c:tx>
      <c:layout>
        <c:manualLayout>
          <c:xMode val="edge"/>
          <c:yMode val="edge"/>
          <c:x val="0.285430627947381"/>
          <c:y val="0.0284292821606254"/>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'[人才培养质量年度报告（2018）图表.xls]Sheet1'!$C$119:$C$123</c:f>
              <c:strCache>
                <c:ptCount val="5"/>
                <c:pt idx="0">
                  <c:v>学院</c:v>
                </c:pt>
                <c:pt idx="1">
                  <c:v>国家示范中位数</c:v>
                </c:pt>
                <c:pt idx="2">
                  <c:v>省示范中位数</c:v>
                </c:pt>
                <c:pt idx="3">
                  <c:v>全国中位数</c:v>
                </c:pt>
                <c:pt idx="4">
                  <c:v>全省中位数</c:v>
                </c:pt>
              </c:strCache>
            </c:strRef>
          </c:cat>
          <c:val>
            <c:numRef>
              <c:f>'[人才培养质量年度报告（2018）图表.xls]Sheet1'!$D$119:$D$123</c:f>
              <c:numCache>
                <c:formatCode>General</c:formatCode>
                <c:ptCount val="5"/>
                <c:pt idx="0">
                  <c:v>273.4</c:v>
                </c:pt>
                <c:pt idx="1">
                  <c:v>175.57</c:v>
                </c:pt>
                <c:pt idx="2">
                  <c:v>151.69</c:v>
                </c:pt>
                <c:pt idx="3">
                  <c:v>94.75</c:v>
                </c:pt>
                <c:pt idx="4">
                  <c:v>137.33</c:v>
                </c:pt>
              </c:numCache>
            </c:numRef>
          </c:val>
        </c:ser>
        <c:dLbls>
          <c:showLegendKey val="0"/>
          <c:showVal val="1"/>
          <c:showCatName val="0"/>
          <c:showSerName val="0"/>
          <c:showPercent val="0"/>
          <c:showBubbleSize val="0"/>
        </c:dLbls>
        <c:gapWidth val="219"/>
        <c:overlap val="-27"/>
        <c:axId val="195049728"/>
        <c:axId val="195059712"/>
      </c:barChart>
      <c:catAx>
        <c:axId val="19504972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059712"/>
        <c:crosses val="autoZero"/>
        <c:auto val="1"/>
        <c:lblAlgn val="ctr"/>
        <c:lblOffset val="100"/>
        <c:noMultiLvlLbl val="0"/>
      </c:catAx>
      <c:valAx>
        <c:axId val="1950597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04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主要合作企业订单培养人数占在校生人数比例  （%）</a:t>
            </a:r>
            <a:endParaRPr sz="1200"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'[人才培养质量年度报告（2018）图表.xls]Sheet1'!$C$162:$C$166</c:f>
              <c:strCache>
                <c:ptCount val="5"/>
                <c:pt idx="0">
                  <c:v>学院</c:v>
                </c:pt>
                <c:pt idx="1">
                  <c:v>国家示范中位数</c:v>
                </c:pt>
                <c:pt idx="2">
                  <c:v>省示范中位数</c:v>
                </c:pt>
                <c:pt idx="3">
                  <c:v>全国中位数</c:v>
                </c:pt>
                <c:pt idx="4">
                  <c:v>全省中位数</c:v>
                </c:pt>
              </c:strCache>
            </c:strRef>
          </c:cat>
          <c:val>
            <c:numRef>
              <c:f>'[人才培养质量年度报告（2018）图表.xls]Sheet1'!$D$162:$D$166</c:f>
              <c:numCache>
                <c:formatCode>General</c:formatCode>
                <c:ptCount val="5"/>
                <c:pt idx="0">
                  <c:v>21.87</c:v>
                </c:pt>
                <c:pt idx="1">
                  <c:v>6.06</c:v>
                </c:pt>
                <c:pt idx="2">
                  <c:v>5.43</c:v>
                </c:pt>
                <c:pt idx="3">
                  <c:v>4.04</c:v>
                </c:pt>
                <c:pt idx="4">
                  <c:v>10.91</c:v>
                </c:pt>
              </c:numCache>
            </c:numRef>
          </c:val>
        </c:ser>
        <c:dLbls>
          <c:showLegendKey val="0"/>
          <c:showVal val="1"/>
          <c:showCatName val="0"/>
          <c:showSerName val="0"/>
          <c:showPercent val="0"/>
          <c:showBubbleSize val="0"/>
        </c:dLbls>
        <c:gapWidth val="219"/>
        <c:overlap val="-27"/>
        <c:axId val="195079552"/>
        <c:axId val="195089536"/>
      </c:barChart>
      <c:catAx>
        <c:axId val="19507955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089536"/>
        <c:crosses val="autoZero"/>
        <c:auto val="1"/>
        <c:lblAlgn val="ctr"/>
        <c:lblOffset val="100"/>
        <c:noMultiLvlLbl val="0"/>
      </c:catAx>
      <c:valAx>
        <c:axId val="1950895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07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学院教师比例变化示意图</a:t>
            </a:r>
            <a:endParaRPr sz="1200" b="1"/>
          </a:p>
        </c:rich>
      </c:tx>
      <c:layout/>
      <c:overlay val="0"/>
      <c:spPr>
        <a:noFill/>
        <a:ln>
          <a:noFill/>
        </a:ln>
        <a:effectLst/>
      </c:spPr>
    </c:title>
    <c:autoTitleDeleted val="0"/>
    <c:plotArea>
      <c:layout/>
      <c:barChart>
        <c:barDir val="col"/>
        <c:grouping val="clustered"/>
        <c:varyColors val="0"/>
        <c:ser>
          <c:idx val="0"/>
          <c:order val="0"/>
          <c:tx>
            <c:strRef>
              <c:f>'[人才培养质量年度报告（2018）图表.xls]Sheet1'!$D$43</c:f>
              <c:strCache>
                <c:ptCount val="1"/>
                <c:pt idx="0">
                  <c:v>2016年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'[人才培养质量年度报告（2018）图表.xls]Sheet1'!$C$44:$C$47</c:f>
              <c:strCache>
                <c:ptCount val="4"/>
                <c:pt idx="0">
                  <c:v>专任教师</c:v>
                </c:pt>
                <c:pt idx="1">
                  <c:v>校内兼课教师</c:v>
                </c:pt>
                <c:pt idx="2">
                  <c:v>校外兼职教师</c:v>
                </c:pt>
                <c:pt idx="3">
                  <c:v>校外兼课教师</c:v>
                </c:pt>
              </c:strCache>
            </c:strRef>
          </c:cat>
          <c:val>
            <c:numRef>
              <c:f>'[人才培养质量年度报告（2018）图表.xls]Sheet1'!$D$44:$D$47</c:f>
              <c:numCache>
                <c:formatCode>0.00%</c:formatCode>
                <c:ptCount val="4"/>
                <c:pt idx="0">
                  <c:v>0.716</c:v>
                </c:pt>
                <c:pt idx="1">
                  <c:v>0.034</c:v>
                </c:pt>
                <c:pt idx="2">
                  <c:v>0.188</c:v>
                </c:pt>
                <c:pt idx="3">
                  <c:v>0.063</c:v>
                </c:pt>
              </c:numCache>
            </c:numRef>
          </c:val>
        </c:ser>
        <c:ser>
          <c:idx val="1"/>
          <c:order val="1"/>
          <c:tx>
            <c:strRef>
              <c:f>'[人才培养质量年度报告（2018）图表.xls]Sheet1'!$E$43</c:f>
              <c:strCache>
                <c:ptCount val="1"/>
                <c:pt idx="0">
                  <c:v>2017年</c:v>
                </c:pt>
              </c:strCache>
            </c:strRef>
          </c:tx>
          <c:spPr>
            <a:solidFill>
              <a:schemeClr val="accent2"/>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delete val="1"/>
            </c:dLbl>
            <c:dLbl>
              <c:idx val="2"/>
              <c:delete val="1"/>
            </c:dLbl>
            <c:dLbl>
              <c:idx val="3"/>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'[人才培养质量年度报告（2018）图表.xls]Sheet1'!$C$44:$C$47</c:f>
              <c:strCache>
                <c:ptCount val="4"/>
                <c:pt idx="0">
                  <c:v>专任教师</c:v>
                </c:pt>
                <c:pt idx="1">
                  <c:v>校内兼课教师</c:v>
                </c:pt>
                <c:pt idx="2">
                  <c:v>校外兼职教师</c:v>
                </c:pt>
                <c:pt idx="3">
                  <c:v>校外兼课教师</c:v>
                </c:pt>
              </c:strCache>
            </c:strRef>
          </c:cat>
          <c:val>
            <c:numRef>
              <c:f>'[人才培养质量年度报告（2018）图表.xls]Sheet1'!$E$44:$E$47</c:f>
              <c:numCache>
                <c:formatCode>0.00%</c:formatCode>
                <c:ptCount val="4"/>
                <c:pt idx="0">
                  <c:v>0.667</c:v>
                </c:pt>
                <c:pt idx="1">
                  <c:v>0.054</c:v>
                </c:pt>
                <c:pt idx="2">
                  <c:v>0.237</c:v>
                </c:pt>
                <c:pt idx="3">
                  <c:v>0.092</c:v>
                </c:pt>
              </c:numCache>
            </c:numRef>
          </c:val>
        </c:ser>
        <c:dLbls>
          <c:showLegendKey val="0"/>
          <c:showVal val="0"/>
          <c:showCatName val="0"/>
          <c:showSerName val="0"/>
          <c:showPercent val="0"/>
          <c:showBubbleSize val="0"/>
        </c:dLbls>
        <c:gapWidth val="219"/>
        <c:overlap val="-27"/>
        <c:axId val="136526464"/>
        <c:axId val="136532736"/>
      </c:barChart>
      <c:catAx>
        <c:axId val="13652646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532736"/>
        <c:crosses val="autoZero"/>
        <c:auto val="1"/>
        <c:lblAlgn val="ctr"/>
        <c:lblOffset val="100"/>
        <c:noMultiLvlLbl val="0"/>
      </c:catAx>
      <c:valAx>
        <c:axId val="1365327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52646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校企合作共同开发课程占开设课程总门数比例  （%）</a:t>
            </a:r>
            <a:endParaRPr sz="1200"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'[人才培养质量年度报告（2018）图表.xls]Sheet1'!$C$168:$C$172</c:f>
              <c:strCache>
                <c:ptCount val="5"/>
                <c:pt idx="0">
                  <c:v>学院</c:v>
                </c:pt>
                <c:pt idx="1">
                  <c:v>国家示范中位数</c:v>
                </c:pt>
                <c:pt idx="2">
                  <c:v>省示范中位数</c:v>
                </c:pt>
                <c:pt idx="3">
                  <c:v>全国中位数</c:v>
                </c:pt>
                <c:pt idx="4">
                  <c:v>全省中位数</c:v>
                </c:pt>
              </c:strCache>
            </c:strRef>
          </c:cat>
          <c:val>
            <c:numRef>
              <c:f>'[人才培养质量年度报告（2018）图表.xls]Sheet1'!$D$168:$D$172</c:f>
              <c:numCache>
                <c:formatCode>General</c:formatCode>
                <c:ptCount val="5"/>
                <c:pt idx="0">
                  <c:v>11.6</c:v>
                </c:pt>
                <c:pt idx="1">
                  <c:v>6.6</c:v>
                </c:pt>
                <c:pt idx="2">
                  <c:v>7.28</c:v>
                </c:pt>
                <c:pt idx="3">
                  <c:v>3.69</c:v>
                </c:pt>
                <c:pt idx="4">
                  <c:v>5.17</c:v>
                </c:pt>
              </c:numCache>
            </c:numRef>
          </c:val>
        </c:ser>
        <c:dLbls>
          <c:showLegendKey val="0"/>
          <c:showVal val="1"/>
          <c:showCatName val="0"/>
          <c:showSerName val="0"/>
          <c:showPercent val="0"/>
          <c:showBubbleSize val="0"/>
        </c:dLbls>
        <c:gapWidth val="219"/>
        <c:overlap val="-27"/>
        <c:axId val="195117824"/>
        <c:axId val="195119360"/>
      </c:barChart>
      <c:catAx>
        <c:axId val="19511782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119360"/>
        <c:crosses val="autoZero"/>
        <c:auto val="1"/>
        <c:lblAlgn val="ctr"/>
        <c:lblOffset val="100"/>
        <c:noMultiLvlLbl val="0"/>
      </c:catAx>
      <c:valAx>
        <c:axId val="1951193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11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2016-2017学年听课评级分布图</a:t>
            </a: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('[听课明细统计.xlsx]2017上汇总分析'!$F$15,'[听课明细统计.xlsx]2017上汇总分析'!$H$15,'[听课明细统计.xlsx]2017上汇总分析'!$J$15,'[听课明细统计.xlsx]2017上汇总分析'!$L$15)</c:f>
              <c:strCache>
                <c:ptCount val="4"/>
                <c:pt idx="0">
                  <c:v>优秀</c:v>
                </c:pt>
                <c:pt idx="1">
                  <c:v>良好</c:v>
                </c:pt>
                <c:pt idx="2">
                  <c:v>中等</c:v>
                </c:pt>
                <c:pt idx="3">
                  <c:v>一般</c:v>
                </c:pt>
              </c:strCache>
            </c:strRef>
          </c:cat>
          <c:val>
            <c:numRef>
              <c:f>('[听课明细统计.xlsx]2017上汇总分析'!$F$16,'[听课明细统计.xlsx]2017上汇总分析'!$H$16,'[听课明细统计.xlsx]2017上汇总分析'!$J$16,'[听课明细统计.xlsx]2017上汇总分析'!$L$16)</c:f>
              <c:numCache>
                <c:formatCode>General</c:formatCode>
                <c:ptCount val="4"/>
                <c:pt idx="0">
                  <c:v>48</c:v>
                </c:pt>
                <c:pt idx="1">
                  <c:v>148</c:v>
                </c:pt>
                <c:pt idx="2">
                  <c:v>46</c:v>
                </c:pt>
                <c:pt idx="3">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500" b="1" i="0" u="none" strike="noStrike" kern="1200" cap="all" spc="100" normalizeH="0" baseline="0">
                <a:solidFill>
                  <a:schemeClr val="lt1"/>
                </a:solidFill>
                <a:latin typeface="+mn-lt"/>
                <a:ea typeface="+mn-ea"/>
                <a:cs typeface="+mn-cs"/>
              </a:defRPr>
            </a:pPr>
            <a:r>
              <a:t>2016-2017学年高职学生到课率抽样</a:t>
            </a:r>
          </a:p>
        </c:rich>
      </c:tx>
      <c:layout/>
      <c:overlay val="0"/>
      <c:spPr>
        <a:noFill/>
        <a:ln>
          <a:noFill/>
        </a:ln>
        <a:effectLst/>
      </c:spPr>
    </c:title>
    <c:autoTitleDeleted val="0"/>
    <c:plotArea>
      <c:layout/>
      <c:barChart>
        <c:barDir val="col"/>
        <c:grouping val="clustered"/>
        <c:varyColors val="0"/>
        <c:ser>
          <c:idx val="0"/>
          <c:order val="0"/>
          <c:tx>
            <c:strRef>
              <c:f>'[听课明细统计.xlsx]2017上汇总分析'!$P$23</c:f>
              <c:strCache>
                <c:ptCount val="1"/>
                <c:pt idx="0">
                  <c:v>到课率%</c:v>
                </c:pt>
              </c:strCache>
            </c:strRef>
          </c:tx>
          <c:spPr>
            <a:pattFill prst="ltUpDiag">
              <a:fgClr>
                <a:schemeClr val="accent1"/>
              </a:fgClr>
              <a:bgClr>
                <a:schemeClr val="lt1"/>
              </a:bgClr>
            </a:pattFill>
            <a:ln>
              <a:noFill/>
            </a:ln>
            <a:effectLst/>
          </c:spPr>
          <c:invertIfNegative val="0"/>
          <c:dLbls>
            <c:delete val="1"/>
          </c:dLbls>
          <c:cat>
            <c:numRef>
              <c:f>'[听课明细统计.xlsx]2017上汇总分析'!$Q$22:$Y$22</c:f>
              <c:numCache>
                <c:formatCode>yyyy"年"m"月"</c:formatCode>
                <c:ptCount val="9"/>
                <c:pt idx="0" c:formatCode="yyyy&quot;年&quot;m&quot;月&quot;">
                  <c:v>42614</c:v>
                </c:pt>
                <c:pt idx="1" c:formatCode="yyyy&quot;年&quot;m&quot;月&quot;">
                  <c:v>42644</c:v>
                </c:pt>
                <c:pt idx="2" c:formatCode="yyyy&quot;年&quot;m&quot;月&quot;">
                  <c:v>42675</c:v>
                </c:pt>
                <c:pt idx="3" c:formatCode="yyyy&quot;年&quot;m&quot;月&quot;">
                  <c:v>42705</c:v>
                </c:pt>
                <c:pt idx="4" c:formatCode="yyyy&quot;年&quot;m&quot;月&quot;">
                  <c:v>42767</c:v>
                </c:pt>
                <c:pt idx="5" c:formatCode="yyyy&quot;年&quot;m&quot;月&quot;">
                  <c:v>42795</c:v>
                </c:pt>
                <c:pt idx="6" c:formatCode="yyyy&quot;年&quot;m&quot;月&quot;">
                  <c:v>42826</c:v>
                </c:pt>
                <c:pt idx="7" c:formatCode="yyyy&quot;年&quot;m&quot;月&quot;">
                  <c:v>42856</c:v>
                </c:pt>
                <c:pt idx="8" c:formatCode="yyyy&quot;年&quot;m&quot;月&quot;">
                  <c:v>42887</c:v>
                </c:pt>
              </c:numCache>
            </c:numRef>
          </c:cat>
          <c:val>
            <c:numRef>
              <c:f>'[听课明细统计.xlsx]2017上汇总分析'!$Q$23:$Y$23</c:f>
              <c:numCache>
                <c:formatCode>General</c:formatCode>
                <c:ptCount val="9"/>
                <c:pt idx="0">
                  <c:v>95.67</c:v>
                </c:pt>
                <c:pt idx="1">
                  <c:v>96.43</c:v>
                </c:pt>
                <c:pt idx="2">
                  <c:v>98.9</c:v>
                </c:pt>
                <c:pt idx="3">
                  <c:v>97.63</c:v>
                </c:pt>
                <c:pt idx="4">
                  <c:v>96.42</c:v>
                </c:pt>
                <c:pt idx="5">
                  <c:v>97.96</c:v>
                </c:pt>
                <c:pt idx="6">
                  <c:v>94.38</c:v>
                </c:pt>
                <c:pt idx="7">
                  <c:v>96.56</c:v>
                </c:pt>
                <c:pt idx="8">
                  <c:v>97.82</c:v>
                </c:pt>
              </c:numCache>
            </c:numRef>
          </c:val>
        </c:ser>
        <c:dLbls>
          <c:showLegendKey val="0"/>
          <c:showVal val="0"/>
          <c:showCatName val="0"/>
          <c:showSerName val="0"/>
          <c:showPercent val="0"/>
          <c:showBubbleSize val="0"/>
        </c:dLbls>
        <c:gapWidth val="269"/>
        <c:overlap val="-20"/>
        <c:axId val="195206144"/>
        <c:axId val="195207936"/>
      </c:barChart>
      <c:dateAx>
        <c:axId val="195206144"/>
        <c:scaling>
          <c:orientation val="minMax"/>
        </c:scaling>
        <c:delete val="0"/>
        <c:axPos val="b"/>
        <c:numFmt formatCode="yyyy&quot;年&quot;m&quot;月&quot;" sourceLinked="1"/>
        <c:majorTickMark val="out"/>
        <c:minorTickMark val="none"/>
        <c:tickLblPos val="nextTo"/>
        <c:spPr>
          <a:noFill/>
          <a:ln w="3175" cap="flat" cmpd="sng" algn="ctr">
            <a:solidFill>
              <a:schemeClr val="accent1">
                <a:lumMod val="60000"/>
                <a:lumOff val="40000"/>
              </a:schemeClr>
            </a:solidFill>
            <a:prstDash val="solid"/>
            <a:round/>
          </a:ln>
          <a:effectLst/>
        </c:spPr>
        <c:txPr>
          <a:bodyPr rot="-60000000" spcFirstLastPara="0" vertOverflow="ellipsis" vert="horz" wrap="square" anchor="ctr" anchorCtr="1"/>
          <a:lstStyle/>
          <a:p>
            <a:pPr>
              <a:defRPr lang="zh-CN" sz="800" b="0" i="0" u="none" strike="noStrike" kern="1200" cap="all" spc="150" normalizeH="0" baseline="0">
                <a:solidFill>
                  <a:schemeClr val="lt1"/>
                </a:solidFill>
                <a:latin typeface="+mn-lt"/>
                <a:ea typeface="+mn-ea"/>
                <a:cs typeface="+mn-cs"/>
              </a:defRPr>
            </a:pPr>
          </a:p>
        </c:txPr>
        <c:crossAx val="195207936"/>
        <c:crosses val="autoZero"/>
        <c:auto val="1"/>
        <c:lblOffset val="100"/>
        <c:baseTimeUnit val="months"/>
      </c:dateAx>
      <c:valAx>
        <c:axId val="195207936"/>
        <c:scaling>
          <c:orientation val="minMax"/>
          <c:max val="100"/>
          <c:min val="80"/>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lt1"/>
                </a:solidFill>
                <a:latin typeface="+mn-lt"/>
                <a:ea typeface="+mn-ea"/>
                <a:cs typeface="+mn-cs"/>
              </a:defRPr>
            </a:pPr>
          </a:p>
        </c:txPr>
        <c:crossAx val="195206144"/>
        <c:crosses val="autoZero"/>
        <c:crossBetween val="between"/>
        <c:majorUnit val="5"/>
      </c:valAx>
      <c:dTable>
        <c:showHorzBorder val="1"/>
        <c:showVertBorder val="1"/>
        <c:showOutline val="1"/>
        <c:showKeys val="1"/>
        <c:spPr>
          <a:noFill/>
          <a:ln w="9525" cap="flat" cmpd="sng" algn="ctr">
            <a:solidFill>
              <a:schemeClr val="accent1">
                <a:lumMod val="60000"/>
                <a:lumOff val="40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lt1"/>
                </a:solidFill>
                <a:latin typeface="+mn-lt"/>
                <a:ea typeface="+mn-ea"/>
                <a:cs typeface="+mn-cs"/>
              </a:defRPr>
            </a:pPr>
          </a:p>
        </c:txPr>
      </c:dTable>
      <c:spPr>
        <a:noFill/>
        <a:ln>
          <a:noFill/>
        </a:ln>
        <a:effectLst/>
      </c:spPr>
    </c:plotArea>
    <c:plotVisOnly val="1"/>
    <c:dispBlanksAs val="gap"/>
    <c:showDLblsOverMax val="0"/>
  </c:chart>
  <c:spPr>
    <a:solidFill>
      <a:schemeClr val="accent1"/>
    </a:solidFill>
    <a:ln w="9525" cap="flat" cmpd="sng" algn="ctr">
      <a:solidFill>
        <a:schemeClr val="accent1"/>
      </a:solidFill>
      <a:prstDash val="solid"/>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标志性成果完成情况  （项）</a:t>
            </a:r>
            <a:endParaRPr sz="1200" b="1"/>
          </a:p>
        </c:rich>
      </c:tx>
      <c:layout/>
      <c:overlay val="0"/>
      <c:spPr>
        <a:noFill/>
        <a:ln>
          <a:noFill/>
        </a:ln>
        <a:effectLst/>
      </c:spPr>
    </c:title>
    <c:autoTitleDeleted val="0"/>
    <c:plotArea>
      <c:layout/>
      <c:barChart>
        <c:barDir val="col"/>
        <c:grouping val="clustered"/>
        <c:varyColors val="0"/>
        <c:ser>
          <c:idx val="0"/>
          <c:order val="0"/>
          <c:tx>
            <c:strRef>
              <c:f>'[人才培养质量年度报告（2018）图表.xls]Sheet1'!$D$173</c:f>
              <c:strCache>
                <c:ptCount val="1"/>
                <c:pt idx="0">
                  <c:v>国家级</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'[人才培养质量年度报告（2018）图表.xls]Sheet1'!$C$174:$C$176</c:f>
              <c:strCache>
                <c:ptCount val="3"/>
                <c:pt idx="0">
                  <c:v>总目标</c:v>
                </c:pt>
                <c:pt idx="1">
                  <c:v>2017年目标</c:v>
                </c:pt>
                <c:pt idx="2">
                  <c:v>已经完成</c:v>
                </c:pt>
              </c:strCache>
            </c:strRef>
          </c:cat>
          <c:val>
            <c:numRef>
              <c:f>'[人才培养质量年度报告（2018）图表.xls]Sheet1'!$D$174:$D$176</c:f>
              <c:numCache>
                <c:formatCode>General</c:formatCode>
                <c:ptCount val="3"/>
                <c:pt idx="0">
                  <c:v>20</c:v>
                </c:pt>
                <c:pt idx="1">
                  <c:v>5</c:v>
                </c:pt>
                <c:pt idx="2">
                  <c:v>13</c:v>
                </c:pt>
              </c:numCache>
            </c:numRef>
          </c:val>
        </c:ser>
        <c:ser>
          <c:idx val="1"/>
          <c:order val="1"/>
          <c:tx>
            <c:strRef>
              <c:f>'[人才培养质量年度报告（2018）图表.xls]Sheet1'!$E$173</c:f>
              <c:strCache>
                <c:ptCount val="1"/>
                <c:pt idx="0">
                  <c:v>省级</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'[人才培养质量年度报告（2018）图表.xls]Sheet1'!$C$174:$C$176</c:f>
              <c:strCache>
                <c:ptCount val="3"/>
                <c:pt idx="0">
                  <c:v>总目标</c:v>
                </c:pt>
                <c:pt idx="1">
                  <c:v>2017年目标</c:v>
                </c:pt>
                <c:pt idx="2">
                  <c:v>已经完成</c:v>
                </c:pt>
              </c:strCache>
            </c:strRef>
          </c:cat>
          <c:val>
            <c:numRef>
              <c:f>'[人才培养质量年度报告（2018）图表.xls]Sheet1'!$E$174:$E$176</c:f>
              <c:numCache>
                <c:formatCode>General</c:formatCode>
                <c:ptCount val="3"/>
                <c:pt idx="0">
                  <c:v>80</c:v>
                </c:pt>
                <c:pt idx="1">
                  <c:v>25</c:v>
                </c:pt>
                <c:pt idx="2">
                  <c:v>87</c:v>
                </c:pt>
              </c:numCache>
            </c:numRef>
          </c:val>
        </c:ser>
        <c:dLbls>
          <c:showLegendKey val="0"/>
          <c:showVal val="1"/>
          <c:showCatName val="0"/>
          <c:showSerName val="0"/>
          <c:showPercent val="0"/>
          <c:showBubbleSize val="0"/>
        </c:dLbls>
        <c:gapWidth val="219"/>
        <c:overlap val="-27"/>
        <c:axId val="88947712"/>
        <c:axId val="88957696"/>
      </c:barChart>
      <c:catAx>
        <c:axId val="8894771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957696"/>
        <c:crosses val="autoZero"/>
        <c:auto val="1"/>
        <c:lblAlgn val="ctr"/>
        <c:lblOffset val="100"/>
        <c:noMultiLvlLbl val="0"/>
      </c:catAx>
      <c:valAx>
        <c:axId val="8895769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94771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sz="1200" b="1"/>
              <a:t>生均经常性</a:t>
            </a:r>
            <a:r>
              <a:rPr lang="en-US" altLang="zh-CN" sz="1200" b="1"/>
              <a:t>财政</a:t>
            </a:r>
            <a:r>
              <a:rPr altLang="en-US" sz="1200" b="1"/>
              <a:t>拨款水平  （元）</a:t>
            </a:r>
            <a:endParaRPr lang="en-US" altLang="zh-CN" sz="1200" b="1"/>
          </a:p>
        </c:rich>
      </c:tx>
      <c:layout/>
      <c:overlay val="0"/>
      <c:spPr>
        <a:noFill/>
        <a:ln>
          <a:noFill/>
        </a:ln>
        <a:effectLst/>
      </c:spPr>
    </c:title>
    <c:autoTitleDeleted val="0"/>
    <c:plotArea>
      <c:layout/>
      <c:lineChart>
        <c:grouping val="stacke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'[人才培养质量年度报告（2018）图表.xls]Sheet1'!$C$180:$C$183</c:f>
              <c:strCache>
                <c:ptCount val="4"/>
                <c:pt idx="0">
                  <c:v>2014年</c:v>
                </c:pt>
                <c:pt idx="1">
                  <c:v>2015年</c:v>
                </c:pt>
                <c:pt idx="2">
                  <c:v>2016年</c:v>
                </c:pt>
                <c:pt idx="3">
                  <c:v>2017年</c:v>
                </c:pt>
              </c:strCache>
            </c:strRef>
          </c:cat>
          <c:val>
            <c:numRef>
              <c:f>'[人才培养质量年度报告（2018）图表.xls]Sheet1'!$D$180:$D$183</c:f>
              <c:numCache>
                <c:formatCode>General</c:formatCode>
                <c:ptCount val="4"/>
                <c:pt idx="0">
                  <c:v>8361</c:v>
                </c:pt>
                <c:pt idx="1">
                  <c:v>8216</c:v>
                </c:pt>
                <c:pt idx="2">
                  <c:v>9173</c:v>
                </c:pt>
                <c:pt idx="3">
                  <c:v>12262</c:v>
                </c:pt>
              </c:numCache>
            </c:numRef>
          </c:val>
          <c:smooth val="0"/>
        </c:ser>
        <c:dLbls>
          <c:showLegendKey val="0"/>
          <c:showVal val="1"/>
          <c:showCatName val="0"/>
          <c:showSerName val="0"/>
          <c:showPercent val="0"/>
          <c:showBubbleSize val="0"/>
        </c:dLbls>
        <c:marker val="1"/>
        <c:smooth val="0"/>
        <c:axId val="185599104"/>
        <c:axId val="185600640"/>
      </c:lineChart>
      <c:catAx>
        <c:axId val="18559910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5600640"/>
        <c:crosses val="autoZero"/>
        <c:auto val="1"/>
        <c:lblAlgn val="ctr"/>
        <c:lblOffset val="100"/>
        <c:noMultiLvlLbl val="0"/>
      </c:catAx>
      <c:valAx>
        <c:axId val="1856006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559910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服务湖南</a:t>
            </a:r>
            <a:r>
              <a:rPr lang="en-US" altLang="zh-CN" sz="1200" b="1"/>
              <a:t>6</a:t>
            </a:r>
            <a:r>
              <a:rPr altLang="en-US" sz="1200" b="1"/>
              <a:t>大重点产业学生规模情况  （人）</a:t>
            </a:r>
            <a:endParaRPr altLang="en-US" sz="1200" b="1"/>
          </a:p>
        </c:rich>
      </c:tx>
      <c:layout/>
      <c:overlay val="0"/>
      <c:spPr>
        <a:noFill/>
        <a:ln>
          <a:noFill/>
        </a:ln>
        <a:effectLst/>
      </c:spPr>
    </c:title>
    <c:autoTitleDeleted val="0"/>
    <c:plotArea>
      <c:layout/>
      <c:barChart>
        <c:barDir val="col"/>
        <c:grouping val="clustered"/>
        <c:varyColors val="0"/>
        <c:ser>
          <c:idx val="0"/>
          <c:order val="0"/>
          <c:tx>
            <c:strRef>
              <c:f>'[人才培养质量年度报告（2018）图表.xls]Sheet1'!$C$193</c:f>
              <c:strCache>
                <c:ptCount val="1"/>
                <c:pt idx="0">
                  <c:v>2016年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'[人才培养质量年度报告（2018）图表.xls]Sheet1'!$B$194:$B$196</c:f>
              <c:strCache>
                <c:ptCount val="3"/>
                <c:pt idx="0">
                  <c:v>化学与生物制药技术</c:v>
                </c:pt>
                <c:pt idx="1">
                  <c:v>化工自动化技术</c:v>
                </c:pt>
                <c:pt idx="2">
                  <c:v>化工装备制造技术</c:v>
                </c:pt>
              </c:strCache>
            </c:strRef>
          </c:cat>
          <c:val>
            <c:numRef>
              <c:f>'[人才培养质量年度报告（2018）图表.xls]Sheet1'!$C$194:$C$196</c:f>
              <c:numCache>
                <c:formatCode>0_ </c:formatCode>
                <c:ptCount val="3"/>
                <c:pt idx="0">
                  <c:v>1254</c:v>
                </c:pt>
                <c:pt idx="1">
                  <c:v>1399</c:v>
                </c:pt>
                <c:pt idx="2">
                  <c:v>432</c:v>
                </c:pt>
              </c:numCache>
            </c:numRef>
          </c:val>
        </c:ser>
        <c:ser>
          <c:idx val="1"/>
          <c:order val="1"/>
          <c:tx>
            <c:strRef>
              <c:f>'[人才培养质量年度报告（2018）图表.xls]Sheet1'!$D$193</c:f>
              <c:strCache>
                <c:ptCount val="1"/>
                <c:pt idx="0">
                  <c:v>2017年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'[人才培养质量年度报告（2018）图表.xls]Sheet1'!$B$194:$B$196</c:f>
              <c:strCache>
                <c:ptCount val="3"/>
                <c:pt idx="0">
                  <c:v>化学与生物制药技术</c:v>
                </c:pt>
                <c:pt idx="1">
                  <c:v>化工自动化技术</c:v>
                </c:pt>
                <c:pt idx="2">
                  <c:v>化工装备制造技术</c:v>
                </c:pt>
              </c:strCache>
            </c:strRef>
          </c:cat>
          <c:val>
            <c:numRef>
              <c:f>'[人才培养质量年度报告（2018）图表.xls]Sheet1'!$D$194:$D$196</c:f>
              <c:numCache>
                <c:formatCode>0_ </c:formatCode>
                <c:ptCount val="3"/>
                <c:pt idx="0">
                  <c:v>1644</c:v>
                </c:pt>
                <c:pt idx="1">
                  <c:v>2171</c:v>
                </c:pt>
                <c:pt idx="2">
                  <c:v>564</c:v>
                </c:pt>
              </c:numCache>
            </c:numRef>
          </c:val>
        </c:ser>
        <c:dLbls>
          <c:showLegendKey val="0"/>
          <c:showVal val="1"/>
          <c:showCatName val="0"/>
          <c:showSerName val="0"/>
          <c:showPercent val="0"/>
          <c:showBubbleSize val="0"/>
        </c:dLbls>
        <c:gapWidth val="219"/>
        <c:overlap val="-27"/>
        <c:axId val="88660992"/>
        <c:axId val="88994560"/>
      </c:barChart>
      <c:catAx>
        <c:axId val="8866099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994560"/>
        <c:crosses val="autoZero"/>
        <c:auto val="1"/>
        <c:lblAlgn val="ctr"/>
        <c:lblOffset val="100"/>
        <c:noMultiLvlLbl val="0"/>
      </c:catAx>
      <c:valAx>
        <c:axId val="889945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6609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专任教师双师素质比例  （</a:t>
            </a:r>
            <a:r>
              <a:rPr lang="en-US" altLang="zh-CN" sz="1200" b="1"/>
              <a:t>%</a:t>
            </a:r>
            <a:r>
              <a:rPr sz="1200" b="1"/>
              <a:t>）</a:t>
            </a:r>
            <a:endParaRPr sz="1200" b="1"/>
          </a:p>
        </c:rich>
      </c:tx>
      <c:layout/>
      <c:overlay val="0"/>
      <c:spPr>
        <a:noFill/>
        <a:ln>
          <a:noFill/>
        </a:ln>
        <a:effectLst/>
      </c:spPr>
    </c:title>
    <c:autoTitleDeleted val="0"/>
    <c:plotArea>
      <c:layout>
        <c:manualLayout>
          <c:layoutTarget val="inner"/>
          <c:xMode val="edge"/>
          <c:yMode val="edge"/>
          <c:x val="0.138833333333333"/>
          <c:y val="0.22037037037037"/>
          <c:w val="0.836305555555556"/>
          <c:h val="0.711666666666667"/>
        </c:manualLayout>
      </c:layout>
      <c:barChart>
        <c:barDir val="bar"/>
        <c:grouping val="clustered"/>
        <c:varyColors val="0"/>
        <c:ser>
          <c:idx val="0"/>
          <c:order val="0"/>
          <c:tx>
            <c:strRef>
              <c:f>'[人才培养质量年度报告（2018）图表.xls]Sheet1'!$C$44</c:f>
              <c:strCache>
                <c:ptCount val="1"/>
                <c:pt idx="0">
                  <c:v>双师素质</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'[人才培养质量年度报告（2018）图表.xls]Sheet1'!$D$43:$E$43</c:f>
              <c:strCache>
                <c:ptCount val="2"/>
                <c:pt idx="0">
                  <c:v>2016年</c:v>
                </c:pt>
                <c:pt idx="1">
                  <c:v>2017年</c:v>
                </c:pt>
              </c:strCache>
            </c:strRef>
          </c:cat>
          <c:val>
            <c:numRef>
              <c:f>'[人才培养质量年度报告（2018）图表.xls]Sheet1'!$D$44:$E$44</c:f>
              <c:numCache>
                <c:formatCode>0.00%</c:formatCode>
                <c:ptCount val="2"/>
                <c:pt idx="0">
                  <c:v>0.7027</c:v>
                </c:pt>
                <c:pt idx="1">
                  <c:v>0.7513</c:v>
                </c:pt>
              </c:numCache>
            </c:numRef>
          </c:val>
        </c:ser>
        <c:dLbls>
          <c:showLegendKey val="0"/>
          <c:showVal val="1"/>
          <c:showCatName val="0"/>
          <c:showSerName val="0"/>
          <c:showPercent val="0"/>
          <c:showBubbleSize val="0"/>
        </c:dLbls>
        <c:gapWidth val="182"/>
        <c:axId val="136596864"/>
        <c:axId val="136625152"/>
      </c:barChart>
      <c:catAx>
        <c:axId val="136596864"/>
        <c:scaling>
          <c:orientation val="minMax"/>
        </c:scaling>
        <c:delete val="0"/>
        <c:axPos val="l"/>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25152"/>
        <c:crosses val="autoZero"/>
        <c:auto val="1"/>
        <c:lblAlgn val="ctr"/>
        <c:lblOffset val="100"/>
        <c:noMultiLvlLbl val="0"/>
      </c:catAx>
      <c:valAx>
        <c:axId val="13662515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596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应届毕业生就业情况</a:t>
            </a:r>
            <a:endParaRPr sz="1200" b="1"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lineChart>
        <c:grouping val="standard"/>
        <c:varyColors val="0"/>
        <c:ser>
          <c:idx val="0"/>
          <c:order val="0"/>
          <c:tx>
            <c:strRef>
              <c:f>'[人才培养质量年度报告（2018）图表.xls]Sheet1'!$D$62</c:f>
              <c:strCache>
                <c:ptCount val="1"/>
                <c:pt idx="0">
                  <c:v>学院就业率</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'[人才培养质量年度报告（2018）图表.xls]Sheet1'!$C$63:$C$67</c:f>
              <c:strCache>
                <c:ptCount val="5"/>
                <c:pt idx="0">
                  <c:v>2013届</c:v>
                </c:pt>
                <c:pt idx="1">
                  <c:v>2014届</c:v>
                </c:pt>
                <c:pt idx="2">
                  <c:v>2015届</c:v>
                </c:pt>
                <c:pt idx="3">
                  <c:v>2016届</c:v>
                </c:pt>
                <c:pt idx="4">
                  <c:v>2017届</c:v>
                </c:pt>
              </c:strCache>
            </c:strRef>
          </c:cat>
          <c:val>
            <c:numRef>
              <c:f>'[人才培养质量年度报告（2018）图表.xls]Sheet1'!$D$63:$D$67</c:f>
              <c:numCache>
                <c:formatCode>0.00%</c:formatCode>
                <c:ptCount val="5"/>
                <c:pt idx="0">
                  <c:v>0.94</c:v>
                </c:pt>
                <c:pt idx="1">
                  <c:v>0.9314</c:v>
                </c:pt>
                <c:pt idx="2">
                  <c:v>0.9534</c:v>
                </c:pt>
                <c:pt idx="3">
                  <c:v>0.9313</c:v>
                </c:pt>
                <c:pt idx="4">
                  <c:v>0.9786</c:v>
                </c:pt>
              </c:numCache>
            </c:numRef>
          </c:val>
          <c:smooth val="0"/>
        </c:ser>
        <c:ser>
          <c:idx val="1"/>
          <c:order val="1"/>
          <c:tx>
            <c:strRef>
              <c:f>'[人才培养质量年度报告（2018）图表.xls]Sheet1'!$E$62</c:f>
              <c:strCache>
                <c:ptCount val="1"/>
                <c:pt idx="0">
                  <c:v>湖南省高职院校平均就业率</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'[人才培养质量年度报告（2018）图表.xls]Sheet1'!$C$63:$C$67</c:f>
              <c:strCache>
                <c:ptCount val="5"/>
                <c:pt idx="0">
                  <c:v>2013届</c:v>
                </c:pt>
                <c:pt idx="1">
                  <c:v>2014届</c:v>
                </c:pt>
                <c:pt idx="2">
                  <c:v>2015届</c:v>
                </c:pt>
                <c:pt idx="3">
                  <c:v>2016届</c:v>
                </c:pt>
                <c:pt idx="4">
                  <c:v>2017届</c:v>
                </c:pt>
              </c:strCache>
            </c:strRef>
          </c:cat>
          <c:val>
            <c:numRef>
              <c:f>'[人才培养质量年度报告（2018）图表.xls]Sheet1'!$E$63:$E$67</c:f>
              <c:numCache>
                <c:formatCode>0.00%</c:formatCode>
                <c:ptCount val="5"/>
                <c:pt idx="0">
                  <c:v>0.9147</c:v>
                </c:pt>
                <c:pt idx="1">
                  <c:v>0.8971</c:v>
                </c:pt>
                <c:pt idx="2">
                  <c:v>0.9099</c:v>
                </c:pt>
                <c:pt idx="3">
                  <c:v>0.9204</c:v>
                </c:pt>
                <c:pt idx="4">
                  <c:v>0.927</c:v>
                </c:pt>
              </c:numCache>
            </c:numRef>
          </c:val>
          <c:smooth val="0"/>
        </c:ser>
        <c:dLbls>
          <c:showLegendKey val="0"/>
          <c:showVal val="1"/>
          <c:showCatName val="0"/>
          <c:showSerName val="0"/>
          <c:showPercent val="0"/>
          <c:showBubbleSize val="0"/>
        </c:dLbls>
        <c:marker val="1"/>
        <c:smooth val="0"/>
        <c:axId val="137078272"/>
        <c:axId val="137233152"/>
      </c:lineChart>
      <c:catAx>
        <c:axId val="13707827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233152"/>
        <c:crosses val="autoZero"/>
        <c:auto val="1"/>
        <c:lblAlgn val="ctr"/>
        <c:lblOffset val="100"/>
        <c:noMultiLvlLbl val="0"/>
      </c:catAx>
      <c:valAx>
        <c:axId val="1372331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0782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用人单位对学院毕业生满意度</a:t>
            </a:r>
            <a:endParaRPr sz="1200" b="1"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lineChart>
        <c:grouping val="standard"/>
        <c:varyColors val="0"/>
        <c:ser>
          <c:idx val="0"/>
          <c:order val="0"/>
          <c:tx>
            <c:strRef>
              <c:f>'[人才培养质量年度报告（2018）图表.xls]Sheet1'!$D$53</c:f>
              <c:strCache>
                <c:ptCount val="1"/>
                <c:pt idx="0">
                  <c:v>学院</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'[人才培养质量年度报告（2018）图表.xls]Sheet1'!$C$54:$C$58</c:f>
              <c:strCache>
                <c:ptCount val="5"/>
                <c:pt idx="0">
                  <c:v>2013届</c:v>
                </c:pt>
                <c:pt idx="1">
                  <c:v>2014届</c:v>
                </c:pt>
                <c:pt idx="2">
                  <c:v>2015届</c:v>
                </c:pt>
                <c:pt idx="3">
                  <c:v>2016届</c:v>
                </c:pt>
                <c:pt idx="4">
                  <c:v>2017届</c:v>
                </c:pt>
              </c:strCache>
            </c:strRef>
          </c:cat>
          <c:val>
            <c:numRef>
              <c:f>'[人才培养质量年度报告（2018）图表.xls]Sheet1'!$D$54:$D$58</c:f>
              <c:numCache>
                <c:formatCode>0.00%</c:formatCode>
                <c:ptCount val="5"/>
                <c:pt idx="0">
                  <c:v>0.9133</c:v>
                </c:pt>
                <c:pt idx="1">
                  <c:v>0.97</c:v>
                </c:pt>
                <c:pt idx="2">
                  <c:v>0.9572</c:v>
                </c:pt>
                <c:pt idx="3">
                  <c:v>0.9928</c:v>
                </c:pt>
                <c:pt idx="4">
                  <c:v>0.9779</c:v>
                </c:pt>
              </c:numCache>
            </c:numRef>
          </c:val>
          <c:smooth val="0"/>
        </c:ser>
        <c:ser>
          <c:idx val="1"/>
          <c:order val="1"/>
          <c:tx>
            <c:strRef>
              <c:f>'[人才培养质量年度报告（2018）图表.xls]Sheet1'!$E$53</c:f>
              <c:strCache>
                <c:ptCount val="1"/>
                <c:pt idx="0">
                  <c:v>全省中位数</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'[人才培养质量年度报告（2018）图表.xls]Sheet1'!$C$54:$C$58</c:f>
              <c:strCache>
                <c:ptCount val="5"/>
                <c:pt idx="0">
                  <c:v>2013届</c:v>
                </c:pt>
                <c:pt idx="1">
                  <c:v>2014届</c:v>
                </c:pt>
                <c:pt idx="2">
                  <c:v>2015届</c:v>
                </c:pt>
                <c:pt idx="3">
                  <c:v>2016届</c:v>
                </c:pt>
                <c:pt idx="4">
                  <c:v>2017届</c:v>
                </c:pt>
              </c:strCache>
            </c:strRef>
          </c:cat>
          <c:val>
            <c:numRef>
              <c:f>'[人才培养质量年度报告（2018）图表.xls]Sheet1'!$E$54:$E$58</c:f>
              <c:numCache>
                <c:formatCode>0.00%</c:formatCode>
                <c:ptCount val="5"/>
                <c:pt idx="0">
                  <c:v>0.9024</c:v>
                </c:pt>
                <c:pt idx="1">
                  <c:v>0.9099</c:v>
                </c:pt>
                <c:pt idx="2">
                  <c:v>0.9095</c:v>
                </c:pt>
                <c:pt idx="3">
                  <c:v>0.9103</c:v>
                </c:pt>
                <c:pt idx="4">
                  <c:v>0.9106</c:v>
                </c:pt>
              </c:numCache>
            </c:numRef>
          </c:val>
          <c:smooth val="0"/>
        </c:ser>
        <c:dLbls>
          <c:showLegendKey val="0"/>
          <c:showVal val="1"/>
          <c:showCatName val="0"/>
          <c:showSerName val="0"/>
          <c:showPercent val="0"/>
          <c:showBubbleSize val="0"/>
        </c:dLbls>
        <c:marker val="1"/>
        <c:smooth val="0"/>
        <c:axId val="184368512"/>
        <c:axId val="185383552"/>
      </c:lineChart>
      <c:catAx>
        <c:axId val="18436851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5383552"/>
        <c:crosses val="autoZero"/>
        <c:auto val="1"/>
        <c:lblAlgn val="ctr"/>
        <c:lblOffset val="100"/>
        <c:noMultiLvlLbl val="0"/>
      </c:catAx>
      <c:valAx>
        <c:axId val="1853835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436851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sz="1200" b="1" i="0" u="none" strike="noStrike" kern="1200" spc="0" baseline="0">
                <a:solidFill>
                  <a:schemeClr val="tx1">
                    <a:lumMod val="65000"/>
                    <a:lumOff val="35000"/>
                  </a:schemeClr>
                </a:solidFill>
                <a:latin typeface="+mn-lt"/>
                <a:ea typeface="+mn-ea"/>
                <a:cs typeface="+mn-cs"/>
              </a:rPr>
              <a:t>毕业生母校满意度  （%）</a:t>
            </a:r>
            <a:endParaRPr lang="zh-CN" sz="1200" b="1" i="0" u="none" strike="noStrike" kern="1200" spc="0" baseline="0">
              <a:solidFill>
                <a:schemeClr val="tx1">
                  <a:lumMod val="65000"/>
                  <a:lumOff val="35000"/>
                </a:schemeClr>
              </a:solidFill>
              <a:latin typeface="+mn-lt"/>
              <a:ea typeface="+mn-ea"/>
              <a:cs typeface="+mn-cs"/>
            </a:endParaRPr>
          </a:p>
        </c:rich>
      </c:tx>
      <c:layout/>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multiLvlStrRef>
              <c:f>'[人才培养质量年度报告（2018）图表.xls]Sheet1'!$B$77:$C$81</c:f>
              <c:multiLvlStrCache>
                <c:ptCount val="5"/>
                <c:lvl>
                  <c:pt idx="0">
                    <c:v>2013届</c:v>
                  </c:pt>
                  <c:pt idx="1">
                    <c:v>2014届</c:v>
                  </c:pt>
                  <c:pt idx="2">
                    <c:v>2015届</c:v>
                  </c:pt>
                  <c:pt idx="3">
                    <c:v>2016届</c:v>
                  </c:pt>
                  <c:pt idx="4">
                    <c:v>2017届</c:v>
                  </c:pt>
                </c:lvl>
                <c:lvl>
                  <c:pt idx="0">
                    <c:v>母校满意度</c:v>
                  </c:pt>
                </c:lvl>
              </c:multiLvlStrCache>
            </c:multiLvlStrRef>
          </c:cat>
          <c:val>
            <c:numRef>
              <c:f>'[人才培养质量年度报告（2018）图表.xls]Sheet1'!$D$77:$D$81</c:f>
              <c:numCache>
                <c:formatCode>General</c:formatCode>
                <c:ptCount val="5"/>
                <c:pt idx="0">
                  <c:v>95.16</c:v>
                </c:pt>
                <c:pt idx="1">
                  <c:v>96.02</c:v>
                </c:pt>
                <c:pt idx="2">
                  <c:v>97.43</c:v>
                </c:pt>
                <c:pt idx="3">
                  <c:v>97.48</c:v>
                </c:pt>
                <c:pt idx="4">
                  <c:v>98.57</c:v>
                </c:pt>
              </c:numCache>
            </c:numRef>
          </c:val>
          <c:smooth val="0"/>
        </c:ser>
        <c:dLbls>
          <c:showLegendKey val="0"/>
          <c:showVal val="1"/>
          <c:showCatName val="0"/>
          <c:showSerName val="0"/>
          <c:showPercent val="0"/>
          <c:showBubbleSize val="0"/>
        </c:dLbls>
        <c:marker val="1"/>
        <c:smooth val="0"/>
        <c:axId val="185782272"/>
        <c:axId val="185784192"/>
      </c:lineChart>
      <c:catAx>
        <c:axId val="18578227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5784192"/>
        <c:crosses val="autoZero"/>
        <c:auto val="1"/>
        <c:lblAlgn val="ctr"/>
        <c:lblOffset val="100"/>
        <c:noMultiLvlLbl val="0"/>
      </c:catAx>
      <c:valAx>
        <c:axId val="1857841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578227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sz="1200" b="1" i="0" u="none" strike="noStrike" kern="1200" spc="0" baseline="0">
                <a:solidFill>
                  <a:schemeClr val="tx1">
                    <a:lumMod val="65000"/>
                    <a:lumOff val="35000"/>
                  </a:schemeClr>
                </a:solidFill>
                <a:latin typeface="+mn-lt"/>
                <a:ea typeface="+mn-ea"/>
                <a:cs typeface="+mn-cs"/>
              </a:rPr>
              <a:t>学院与全国高职院校应届毕业生平均起薪点  （元）</a:t>
            </a:r>
            <a:endParaRPr lang="zh-CN" sz="1200" b="1" i="0" u="none" strike="noStrike" kern="1200" spc="0" baseline="0">
              <a:solidFill>
                <a:schemeClr val="tx1">
                  <a:lumMod val="65000"/>
                  <a:lumOff val="35000"/>
                </a:schemeClr>
              </a:solidFill>
              <a:latin typeface="+mn-lt"/>
              <a:ea typeface="+mn-ea"/>
              <a:cs typeface="+mn-cs"/>
            </a:endParaRPr>
          </a:p>
        </c:rich>
      </c:tx>
      <c:layout/>
      <c:overlay val="0"/>
      <c:spPr>
        <a:noFill/>
        <a:ln>
          <a:noFill/>
        </a:ln>
        <a:effectLst/>
      </c:spPr>
    </c:title>
    <c:autoTitleDeleted val="0"/>
    <c:plotArea>
      <c:layout/>
      <c:lineChart>
        <c:grouping val="standard"/>
        <c:varyColors val="0"/>
        <c:ser>
          <c:idx val="0"/>
          <c:order val="0"/>
          <c:tx>
            <c:strRef>
              <c:f>'[人才培养质量年度报告（2018）图表.xls]Sheet1'!$D$70</c:f>
              <c:strCache>
                <c:ptCount val="1"/>
                <c:pt idx="0">
                  <c:v>学院</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'[人才培养质量年度报告（2018）图表.xls]Sheet1'!$C$71:$C$75</c:f>
              <c:strCache>
                <c:ptCount val="5"/>
                <c:pt idx="0">
                  <c:v>2013届</c:v>
                </c:pt>
                <c:pt idx="1">
                  <c:v>2014届</c:v>
                </c:pt>
                <c:pt idx="2">
                  <c:v>2015届</c:v>
                </c:pt>
                <c:pt idx="3">
                  <c:v>2016届</c:v>
                </c:pt>
                <c:pt idx="4">
                  <c:v>2017届</c:v>
                </c:pt>
              </c:strCache>
            </c:strRef>
          </c:cat>
          <c:val>
            <c:numRef>
              <c:f>'[人才培养质量年度报告（2018）图表.xls]Sheet1'!$D$71:$D$75</c:f>
              <c:numCache>
                <c:formatCode>General</c:formatCode>
                <c:ptCount val="5"/>
                <c:pt idx="0">
                  <c:v>3310</c:v>
                </c:pt>
                <c:pt idx="1">
                  <c:v>3581</c:v>
                </c:pt>
                <c:pt idx="2">
                  <c:v>3752</c:v>
                </c:pt>
                <c:pt idx="3">
                  <c:v>3897</c:v>
                </c:pt>
                <c:pt idx="4">
                  <c:v>3979</c:v>
                </c:pt>
              </c:numCache>
            </c:numRef>
          </c:val>
          <c:smooth val="0"/>
        </c:ser>
        <c:ser>
          <c:idx val="1"/>
          <c:order val="1"/>
          <c:tx>
            <c:strRef>
              <c:f>'[人才培养质量年度报告（2018）图表.xls]Sheet1'!$E$70</c:f>
              <c:strCache>
                <c:ptCount val="1"/>
                <c:pt idx="0">
                  <c:v>全国高职平均</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19050" cap="rnd" cmpd="sng" algn="ctr">
                <a:solidFill>
                  <a:schemeClr val="accent2"/>
                </a:solidFill>
                <a:prstDash val="sysDot"/>
                <a:round/>
              </a:ln>
              <a:effectLst/>
            </c:spPr>
            <c:trendlineType val="linear"/>
            <c:dispRSqr val="0"/>
            <c:dispEq val="0"/>
          </c:trendline>
          <c:cat>
            <c:strRef>
              <c:f>'[人才培养质量年度报告（2018）图表.xls]Sheet1'!$C$71:$C$75</c:f>
              <c:strCache>
                <c:ptCount val="5"/>
                <c:pt idx="0">
                  <c:v>2013届</c:v>
                </c:pt>
                <c:pt idx="1">
                  <c:v>2014届</c:v>
                </c:pt>
                <c:pt idx="2">
                  <c:v>2015届</c:v>
                </c:pt>
                <c:pt idx="3">
                  <c:v>2016届</c:v>
                </c:pt>
                <c:pt idx="4">
                  <c:v>2017届</c:v>
                </c:pt>
              </c:strCache>
            </c:strRef>
          </c:cat>
          <c:val>
            <c:numRef>
              <c:f>'[人才培养质量年度报告（2018）图表.xls]Sheet1'!$E$71:$E$75</c:f>
              <c:numCache>
                <c:formatCode>General</c:formatCode>
                <c:ptCount val="5"/>
                <c:pt idx="0">
                  <c:v>2940</c:v>
                </c:pt>
                <c:pt idx="1">
                  <c:v>3200</c:v>
                </c:pt>
                <c:pt idx="2">
                  <c:v>3409</c:v>
                </c:pt>
                <c:pt idx="3">
                  <c:v>3599</c:v>
                </c:pt>
              </c:numCache>
            </c:numRef>
          </c:val>
          <c:smooth val="0"/>
        </c:ser>
        <c:dLbls>
          <c:showLegendKey val="0"/>
          <c:showVal val="1"/>
          <c:showCatName val="0"/>
          <c:showSerName val="0"/>
          <c:showPercent val="0"/>
          <c:showBubbleSize val="0"/>
        </c:dLbls>
        <c:marker val="1"/>
        <c:smooth val="0"/>
        <c:axId val="191442304"/>
        <c:axId val="191478400"/>
      </c:lineChart>
      <c:catAx>
        <c:axId val="19144230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1478400"/>
        <c:crosses val="autoZero"/>
        <c:auto val="1"/>
        <c:lblAlgn val="ctr"/>
        <c:lblOffset val="100"/>
        <c:noMultiLvlLbl val="0"/>
      </c:catAx>
      <c:valAx>
        <c:axId val="1914784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144230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毕业三年收月收入情况  （元）</a:t>
            </a:r>
            <a:endParaRPr sz="1200" b="1"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tx>
            <c:strRef>
              <c:f>'[人才培养质量年度报告（2018）图表.xls]Sheet1'!$D$83</c:f>
              <c:strCache>
                <c:ptCount val="1"/>
                <c:pt idx="0">
                  <c:v>毕业当年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'[人才培养质量年度报告（2018）图表.xls]Sheet1'!$C$84:$C$86</c:f>
              <c:strCache>
                <c:ptCount val="3"/>
                <c:pt idx="0">
                  <c:v>2012届</c:v>
                </c:pt>
                <c:pt idx="1">
                  <c:v>2013届</c:v>
                </c:pt>
                <c:pt idx="2">
                  <c:v>2014届</c:v>
                </c:pt>
              </c:strCache>
            </c:strRef>
          </c:cat>
          <c:val>
            <c:numRef>
              <c:f>'[人才培养质量年度报告（2018）图表.xls]Sheet1'!$D$84:$D$86</c:f>
              <c:numCache>
                <c:formatCode>General</c:formatCode>
                <c:ptCount val="3"/>
                <c:pt idx="0">
                  <c:v>2867</c:v>
                </c:pt>
                <c:pt idx="1">
                  <c:v>3310</c:v>
                </c:pt>
                <c:pt idx="2">
                  <c:v>3581</c:v>
                </c:pt>
              </c:numCache>
            </c:numRef>
          </c:val>
        </c:ser>
        <c:ser>
          <c:idx val="1"/>
          <c:order val="1"/>
          <c:tx>
            <c:strRef>
              <c:f>'[人才培养质量年度报告（2018）图表.xls]Sheet1'!$E$83</c:f>
              <c:strCache>
                <c:ptCount val="1"/>
                <c:pt idx="0">
                  <c:v>毕业三年后</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'[人才培养质量年度报告（2018）图表.xls]Sheet1'!$C$84:$C$86</c:f>
              <c:strCache>
                <c:ptCount val="3"/>
                <c:pt idx="0">
                  <c:v>2012届</c:v>
                </c:pt>
                <c:pt idx="1">
                  <c:v>2013届</c:v>
                </c:pt>
                <c:pt idx="2">
                  <c:v>2014届</c:v>
                </c:pt>
              </c:strCache>
            </c:strRef>
          </c:cat>
          <c:val>
            <c:numRef>
              <c:f>'[人才培养质量年度报告（2018）图表.xls]Sheet1'!$E$84:$E$86</c:f>
              <c:numCache>
                <c:formatCode>General</c:formatCode>
                <c:ptCount val="3"/>
                <c:pt idx="0">
                  <c:v>4129</c:v>
                </c:pt>
                <c:pt idx="1">
                  <c:v>4632</c:v>
                </c:pt>
                <c:pt idx="2">
                  <c:v>5137</c:v>
                </c:pt>
              </c:numCache>
            </c:numRef>
          </c:val>
        </c:ser>
        <c:dLbls>
          <c:showLegendKey val="0"/>
          <c:showVal val="1"/>
          <c:showCatName val="0"/>
          <c:showSerName val="0"/>
          <c:showPercent val="0"/>
          <c:showBubbleSize val="0"/>
        </c:dLbls>
        <c:gapWidth val="219"/>
        <c:overlap val="-27"/>
        <c:axId val="187484032"/>
        <c:axId val="187485568"/>
      </c:barChart>
      <c:catAx>
        <c:axId val="18748403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485568"/>
        <c:crosses val="autoZero"/>
        <c:auto val="1"/>
        <c:lblAlgn val="ctr"/>
        <c:lblOffset val="100"/>
        <c:noMultiLvlLbl val="0"/>
      </c:catAx>
      <c:valAx>
        <c:axId val="1874855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48403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t>毕业生三年内职位晋升情况  （%）</a:t>
            </a:r>
            <a:endParaRPr sz="1200" b="1"/>
          </a:p>
        </c:rich>
      </c:tx>
      <c:layout/>
      <c:overlay val="0"/>
      <c:spPr>
        <a:noFill/>
        <a:ln>
          <a:noFill/>
        </a:ln>
        <a:effectLst/>
      </c:spPr>
    </c:title>
    <c:autoTitleDeleted val="0"/>
    <c:plotArea>
      <c:layout/>
      <c:barChart>
        <c:barDir val="col"/>
        <c:grouping val="clustered"/>
        <c:varyColors val="0"/>
        <c:ser>
          <c:idx val="0"/>
          <c:order val="0"/>
          <c:tx>
            <c:strRef>
              <c:f>'[人才培养质量年度报告（2018）图表.xls]Sheet1'!$C$93</c:f>
              <c:strCache>
                <c:ptCount val="1"/>
                <c:pt idx="0">
                  <c:v>2012届</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'[人才培养质量年度报告（2018）图表.xls]Sheet1'!$D$92:$F$92</c:f>
              <c:strCache>
                <c:ptCount val="3"/>
                <c:pt idx="0">
                  <c:v>职位晋升</c:v>
                </c:pt>
                <c:pt idx="1">
                  <c:v>其中两次以上晋升</c:v>
                </c:pt>
                <c:pt idx="2">
                  <c:v>其中晋升到管理岗</c:v>
                </c:pt>
              </c:strCache>
            </c:strRef>
          </c:cat>
          <c:val>
            <c:numRef>
              <c:f>'[人才培养质量年度报告（2018）图表.xls]Sheet1'!$D$93:$F$93</c:f>
              <c:numCache>
                <c:formatCode>General</c:formatCode>
                <c:ptCount val="3"/>
                <c:pt idx="0">
                  <c:v>41.98</c:v>
                </c:pt>
                <c:pt idx="1">
                  <c:v>7.26</c:v>
                </c:pt>
                <c:pt idx="2">
                  <c:v>28.31</c:v>
                </c:pt>
              </c:numCache>
            </c:numRef>
          </c:val>
        </c:ser>
        <c:ser>
          <c:idx val="1"/>
          <c:order val="1"/>
          <c:tx>
            <c:strRef>
              <c:f>'[人才培养质量年度报告（2018）图表.xls]Sheet1'!$C$94</c:f>
              <c:strCache>
                <c:ptCount val="1"/>
                <c:pt idx="0">
                  <c:v>2013届</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'[人才培养质量年度报告（2018）图表.xls]Sheet1'!$D$92:$F$92</c:f>
              <c:strCache>
                <c:ptCount val="3"/>
                <c:pt idx="0">
                  <c:v>职位晋升</c:v>
                </c:pt>
                <c:pt idx="1">
                  <c:v>其中两次以上晋升</c:v>
                </c:pt>
                <c:pt idx="2">
                  <c:v>其中晋升到管理岗</c:v>
                </c:pt>
              </c:strCache>
            </c:strRef>
          </c:cat>
          <c:val>
            <c:numRef>
              <c:f>'[人才培养质量年度报告（2018）图表.xls]Sheet1'!$D$94:$F$94</c:f>
              <c:numCache>
                <c:formatCode>General</c:formatCode>
                <c:ptCount val="3"/>
                <c:pt idx="0">
                  <c:v>46.13</c:v>
                </c:pt>
                <c:pt idx="1">
                  <c:v>6.92</c:v>
                </c:pt>
                <c:pt idx="2">
                  <c:v>34.64</c:v>
                </c:pt>
              </c:numCache>
            </c:numRef>
          </c:val>
        </c:ser>
        <c:ser>
          <c:idx val="2"/>
          <c:order val="2"/>
          <c:tx>
            <c:strRef>
              <c:f>'[人才培养质量年度报告（2018）图表.xls]Sheet1'!$C$95</c:f>
              <c:strCache>
                <c:ptCount val="1"/>
                <c:pt idx="0">
                  <c:v>2014届</c:v>
                </c:pt>
              </c:strCache>
            </c:strRef>
          </c:tx>
          <c:spPr>
            <a:solidFill>
              <a:schemeClr val="accent6"/>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7</a:t>
                    </a:r>
                    <a:r>
                      <a:rPr lang="en-US" altLang="zh-CN"/>
                      <a:t>2.41</a:t>
                    </a:r>
                    <a:endParaRPr lang="en-US" altLang="zh-CN"/>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31.</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'[人才培养质量年度报告（2018）图表.xls]Sheet1'!$D$92:$F$92</c:f>
              <c:strCache>
                <c:ptCount val="3"/>
                <c:pt idx="0">
                  <c:v>职位晋升</c:v>
                </c:pt>
                <c:pt idx="1">
                  <c:v>其中两次以上晋升</c:v>
                </c:pt>
                <c:pt idx="2">
                  <c:v>其中晋升到管理岗</c:v>
                </c:pt>
              </c:strCache>
            </c:strRef>
          </c:cat>
          <c:val>
            <c:numRef>
              <c:f>'[人才培养质量年度报告（2018）图表.xls]Sheet1'!$D$95:$F$95</c:f>
              <c:numCache>
                <c:formatCode>General</c:formatCode>
                <c:ptCount val="3"/>
                <c:pt idx="0">
                  <c:v>71.86</c:v>
                </c:pt>
                <c:pt idx="1">
                  <c:v>46.59</c:v>
                </c:pt>
                <c:pt idx="2">
                  <c:v>31.32</c:v>
                </c:pt>
              </c:numCache>
            </c:numRef>
          </c:val>
        </c:ser>
        <c:dLbls>
          <c:showLegendKey val="0"/>
          <c:showVal val="1"/>
          <c:showCatName val="0"/>
          <c:showSerName val="0"/>
          <c:showPercent val="0"/>
          <c:showBubbleSize val="0"/>
        </c:dLbls>
        <c:gapWidth val="219"/>
        <c:overlap val="-27"/>
        <c:axId val="188455552"/>
        <c:axId val="188477824"/>
      </c:barChart>
      <c:catAx>
        <c:axId val="18845555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8477824"/>
        <c:crosses val="autoZero"/>
        <c:auto val="1"/>
        <c:lblAlgn val="ctr"/>
        <c:lblOffset val="100"/>
        <c:noMultiLvlLbl val="0"/>
      </c:catAx>
      <c:valAx>
        <c:axId val="1884778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845555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61"/>
    <customShpInfo spid="_x0000_s2062"/>
    <customShpInfo spid="_x0000_s2063"/>
    <customShpInfo spid="_x0000_s2060"/>
    <customShpInfo spid="_x0000_s2051"/>
    <customShpInfo spid="_x0000_s2050"/>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89</Pages>
  <Words>40898</Words>
  <Characters>44116</Characters>
  <Lines>382</Lines>
  <Paragraphs>107</Paragraphs>
  <ScaleCrop>false</ScaleCrop>
  <LinksUpToDate>false</LinksUpToDate>
  <CharactersWithSpaces>49821</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2017-12-23T01:49:00Z</cp:lastPrinted>
  <dcterms:modified xsi:type="dcterms:W3CDTF">2017-12-25T07:57:48Z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