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0322" w14:textId="77777777" w:rsidR="005F5D63" w:rsidRDefault="00000000">
      <w:pPr>
        <w:snapToGrid w:val="0"/>
        <w:spacing w:line="324" w:lineRule="auto"/>
        <w:rPr>
          <w:rFonts w:ascii="黑体" w:eastAsia="黑体" w:hAnsi="黑体" w:cs="黑体"/>
          <w:b/>
          <w:bCs/>
          <w:sz w:val="32"/>
          <w:szCs w:val="32"/>
        </w:rPr>
      </w:pPr>
      <w:r>
        <w:rPr>
          <w:rFonts w:ascii="黑体" w:eastAsia="黑体" w:hAnsi="黑体" w:cs="黑体" w:hint="eastAsia"/>
          <w:b/>
          <w:bCs/>
          <w:sz w:val="32"/>
          <w:szCs w:val="32"/>
        </w:rPr>
        <w:t>附件3</w:t>
      </w:r>
    </w:p>
    <w:p w14:paraId="3EE71D7F" w14:textId="77777777" w:rsidR="005F5D63" w:rsidRDefault="00000000">
      <w:pPr>
        <w:snapToGrid w:val="0"/>
        <w:spacing w:beforeLines="150" w:before="468" w:afterLines="150" w:after="468"/>
        <w:ind w:firstLineChars="200" w:firstLine="723"/>
        <w:jc w:val="center"/>
        <w:rPr>
          <w:rFonts w:ascii="方正小标宋简体" w:eastAsia="方正小标宋简体" w:hAnsi="方正小标宋简体" w:cs="方正小标宋简体"/>
          <w:b/>
          <w:color w:val="000000"/>
          <w:sz w:val="36"/>
          <w:szCs w:val="36"/>
        </w:rPr>
      </w:pPr>
      <w:r>
        <w:rPr>
          <w:rFonts w:ascii="方正小标宋简体" w:eastAsia="方正小标宋简体" w:hAnsi="方正小标宋简体" w:cs="方正小标宋简体" w:hint="eastAsia"/>
          <w:b/>
          <w:color w:val="000000"/>
          <w:sz w:val="36"/>
          <w:szCs w:val="36"/>
        </w:rPr>
        <w:t>湖南化工职业技术学院访问工程师培养协议书</w:t>
      </w:r>
    </w:p>
    <w:p w14:paraId="43636B93"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甲方:</w:t>
      </w:r>
      <w:r>
        <w:rPr>
          <w:rFonts w:ascii="仿宋_GB2312" w:eastAsia="仿宋_GB2312" w:hAnsi="仿宋_GB2312" w:cs="仿宋_GB2312" w:hint="eastAsia"/>
          <w:bCs/>
          <w:color w:val="000000"/>
          <w:sz w:val="32"/>
          <w:szCs w:val="32"/>
          <w:u w:val="single"/>
        </w:rPr>
        <w:t xml:space="preserve">   湖南化工职业技术学院  </w:t>
      </w:r>
      <w:r>
        <w:rPr>
          <w:rFonts w:ascii="仿宋_GB2312" w:eastAsia="仿宋_GB2312" w:hAnsi="仿宋_GB2312" w:cs="仿宋_GB2312" w:hint="eastAsia"/>
          <w:bCs/>
          <w:color w:val="000000"/>
          <w:sz w:val="32"/>
          <w:szCs w:val="32"/>
          <w:u w:val="single"/>
        </w:rPr>
        <w:tab/>
      </w:r>
    </w:p>
    <w:p w14:paraId="5822C975" w14:textId="77777777" w:rsidR="005F5D63" w:rsidRDefault="005F5D63"/>
    <w:p w14:paraId="49976C4A"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u w:val="single"/>
        </w:rPr>
      </w:pPr>
      <w:r>
        <w:rPr>
          <w:rFonts w:ascii="仿宋_GB2312" w:eastAsia="仿宋_GB2312" w:hAnsi="仿宋_GB2312" w:cs="仿宋_GB2312" w:hint="eastAsia"/>
          <w:bCs/>
          <w:color w:val="000000"/>
          <w:sz w:val="32"/>
          <w:szCs w:val="32"/>
        </w:rPr>
        <w:t>乙方:</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u w:val="single"/>
        </w:rPr>
        <w:tab/>
      </w:r>
      <w:r>
        <w:rPr>
          <w:rFonts w:ascii="仿宋_GB2312" w:eastAsia="仿宋_GB2312" w:hAnsi="仿宋_GB2312" w:cs="仿宋_GB2312" w:hint="eastAsia"/>
          <w:bCs/>
          <w:color w:val="000000"/>
          <w:sz w:val="32"/>
          <w:szCs w:val="32"/>
          <w:u w:val="single"/>
        </w:rPr>
        <w:tab/>
      </w:r>
      <w:r>
        <w:rPr>
          <w:rFonts w:ascii="仿宋_GB2312" w:eastAsia="仿宋_GB2312" w:hAnsi="仿宋_GB2312" w:cs="仿宋_GB2312" w:hint="eastAsia"/>
          <w:bCs/>
          <w:color w:val="000000"/>
          <w:sz w:val="32"/>
          <w:szCs w:val="32"/>
          <w:u w:val="single"/>
        </w:rPr>
        <w:tab/>
      </w:r>
    </w:p>
    <w:p w14:paraId="5122241B" w14:textId="77777777" w:rsidR="005F5D63" w:rsidRDefault="005F5D63"/>
    <w:p w14:paraId="25CFF5C1"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为贯彻落实国家有关发展高等职业教育的文件精神，切实加强学校“双师型”教师队伍建设，推进学校与企业单位的合作交流，经甲乙双方友好协商达成以下协议:</w:t>
      </w:r>
    </w:p>
    <w:p w14:paraId="3613ADB4" w14:textId="77777777" w:rsidR="005F5D63" w:rsidRDefault="00000000">
      <w:pPr>
        <w:snapToGrid w:val="0"/>
        <w:spacing w:beforeLines="25" w:before="78" w:afterLines="25" w:after="78" w:line="324"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一、双方的权利和义务</w:t>
      </w:r>
    </w:p>
    <w:p w14:paraId="2BFB9BE6" w14:textId="77777777" w:rsidR="005F5D63" w:rsidRDefault="00000000">
      <w:pPr>
        <w:snapToGrid w:val="0"/>
        <w:spacing w:beforeLines="25" w:before="78" w:afterLines="25" w:after="78" w:line="324" w:lineRule="auto"/>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w:t>
      </w:r>
      <w:proofErr w:type="gramStart"/>
      <w:r>
        <w:rPr>
          <w:rFonts w:ascii="楷体_GB2312" w:eastAsia="楷体_GB2312" w:hAnsi="楷体_GB2312" w:cs="楷体_GB2312" w:hint="eastAsia"/>
          <w:b/>
          <w:color w:val="000000"/>
          <w:sz w:val="32"/>
          <w:szCs w:val="32"/>
        </w:rPr>
        <w:t>一</w:t>
      </w:r>
      <w:proofErr w:type="gramEnd"/>
      <w:r>
        <w:rPr>
          <w:rFonts w:ascii="楷体_GB2312" w:eastAsia="楷体_GB2312" w:hAnsi="楷体_GB2312" w:cs="楷体_GB2312" w:hint="eastAsia"/>
          <w:b/>
          <w:color w:val="000000"/>
          <w:sz w:val="32"/>
          <w:szCs w:val="32"/>
        </w:rPr>
        <w:t>)甲方</w:t>
      </w:r>
    </w:p>
    <w:p w14:paraId="6E98814C"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1.甲方派出专业教师</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前往乙方进行访问，访问时间为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累计</w:t>
      </w:r>
      <w:r>
        <w:rPr>
          <w:rFonts w:ascii="仿宋_GB2312" w:eastAsia="仿宋_GB2312" w:hAnsi="仿宋_GB2312" w:cs="仿宋_GB2312" w:hint="eastAsia"/>
          <w:bCs/>
          <w:color w:val="000000"/>
          <w:sz w:val="32"/>
          <w:szCs w:val="32"/>
          <w:u w:val="single"/>
        </w:rPr>
        <w:t xml:space="preserve">     </w:t>
      </w:r>
      <w:proofErr w:type="gramStart"/>
      <w:r>
        <w:rPr>
          <w:rFonts w:ascii="仿宋_GB2312" w:eastAsia="仿宋_GB2312" w:hAnsi="仿宋_GB2312" w:cs="仿宋_GB2312" w:hint="eastAsia"/>
          <w:bCs/>
          <w:color w:val="000000"/>
          <w:sz w:val="32"/>
          <w:szCs w:val="32"/>
        </w:rPr>
        <w:t>个</w:t>
      </w:r>
      <w:proofErr w:type="gramEnd"/>
      <w:r>
        <w:rPr>
          <w:rFonts w:ascii="仿宋_GB2312" w:eastAsia="仿宋_GB2312" w:hAnsi="仿宋_GB2312" w:cs="仿宋_GB2312" w:hint="eastAsia"/>
          <w:bCs/>
          <w:color w:val="000000"/>
          <w:sz w:val="32"/>
          <w:szCs w:val="32"/>
        </w:rPr>
        <w:t>月。</w:t>
      </w:r>
    </w:p>
    <w:p w14:paraId="6BA52A08"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2.甲方访问工程师与乙方不存在雇用和劳动关系，相应的工资待遇及福利由甲方解决。</w:t>
      </w:r>
    </w:p>
    <w:p w14:paraId="3A4A64A0"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3.甲方应做好访问工程师的思想工作，必须严格保守访问期间获悉的乙方商业秘密，严格遵守乙方的管理，虚心接受乙方的业务指导及评语。</w:t>
      </w:r>
    </w:p>
    <w:p w14:paraId="5303215F"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4.甲方应要求访问工程师珍惜访问机会，积极主动地承担乙方安排的工作任务，协助指导教师开展技术工作。在条件许可的情况下，力求与被访问单位开展技术攻关和合作研发。</w:t>
      </w:r>
    </w:p>
    <w:p w14:paraId="3A240BC9" w14:textId="77777777" w:rsidR="005F5D63" w:rsidRDefault="00000000">
      <w:pPr>
        <w:snapToGrid w:val="0"/>
        <w:spacing w:beforeLines="25" w:before="78" w:afterLines="25" w:after="78" w:line="324" w:lineRule="auto"/>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lastRenderedPageBreak/>
        <w:t>(二)乙方</w:t>
      </w:r>
    </w:p>
    <w:p w14:paraId="13E4E26F"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1.乙方作为甲方访问工程师培养的被访问单位，接受甲方指定的有关专业教师进行工程实践锻炼，乙方对甲方教师的访问安排计划等资料认可后方可按照本协议进行培养。</w:t>
      </w:r>
    </w:p>
    <w:p w14:paraId="4ECF6995"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乙方要为甲方教师的访问提供相关支持，安排具有中级及以上技术职称的人员作为指导教师，并能根据甲方教师的专业特长，安排其承担乙方相应的实际工作任务，对其专业知识结构的更新和专业知识的实际运用进行必要的业务指导。</w:t>
      </w:r>
    </w:p>
    <w:p w14:paraId="061247E2"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3.乙方应对甲方教师在访问期问，按照</w:t>
      </w:r>
      <w:proofErr w:type="gramStart"/>
      <w:r>
        <w:rPr>
          <w:rFonts w:ascii="仿宋_GB2312" w:eastAsia="仿宋_GB2312" w:hAnsi="仿宋_GB2312" w:cs="仿宋_GB2312" w:hint="eastAsia"/>
          <w:bCs/>
          <w:color w:val="000000"/>
          <w:sz w:val="32"/>
          <w:szCs w:val="32"/>
        </w:rPr>
        <w:t>乙方员工</w:t>
      </w:r>
      <w:proofErr w:type="gramEnd"/>
      <w:r>
        <w:rPr>
          <w:rFonts w:ascii="仿宋_GB2312" w:eastAsia="仿宋_GB2312" w:hAnsi="仿宋_GB2312" w:cs="仿宋_GB2312" w:hint="eastAsia"/>
          <w:bCs/>
          <w:color w:val="000000"/>
          <w:sz w:val="32"/>
          <w:szCs w:val="32"/>
        </w:rPr>
        <w:t>的纪律要求对其进行管理和严格考勤。</w:t>
      </w:r>
    </w:p>
    <w:p w14:paraId="065C58E9" w14:textId="77777777" w:rsidR="005F5D63" w:rsidRDefault="00000000">
      <w:pPr>
        <w:snapToGrid w:val="0"/>
        <w:spacing w:line="324" w:lineRule="auto"/>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4.访问结束后，乙方应对甲方教师的总体表现进行书面评价，以反馈甲方教师的</w:t>
      </w:r>
      <w:proofErr w:type="gramStart"/>
      <w:r>
        <w:rPr>
          <w:rFonts w:ascii="仿宋_GB2312" w:eastAsia="仿宋_GB2312" w:hAnsi="仿宋_GB2312" w:cs="仿宋_GB2312" w:hint="eastAsia"/>
          <w:bCs/>
          <w:color w:val="000000"/>
          <w:sz w:val="32"/>
          <w:szCs w:val="32"/>
        </w:rPr>
        <w:t>实际访问</w:t>
      </w:r>
      <w:proofErr w:type="gramEnd"/>
      <w:r>
        <w:rPr>
          <w:rFonts w:ascii="仿宋_GB2312" w:eastAsia="仿宋_GB2312" w:hAnsi="仿宋_GB2312" w:cs="仿宋_GB2312" w:hint="eastAsia"/>
          <w:bCs/>
          <w:color w:val="000000"/>
          <w:sz w:val="32"/>
          <w:szCs w:val="32"/>
        </w:rPr>
        <w:t>情况。</w:t>
      </w:r>
    </w:p>
    <w:p w14:paraId="1FCB91C7" w14:textId="77777777" w:rsidR="005F5D63" w:rsidRDefault="00000000">
      <w:pPr>
        <w:snapToGrid w:val="0"/>
        <w:spacing w:beforeLines="25" w:before="78" w:afterLines="25" w:after="78" w:line="324"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二、其他未尽事宜，由甲乙双方协商解决。</w:t>
      </w:r>
    </w:p>
    <w:p w14:paraId="5FA43C6F" w14:textId="77777777" w:rsidR="005F5D63" w:rsidRDefault="00000000">
      <w:pPr>
        <w:snapToGrid w:val="0"/>
        <w:spacing w:beforeLines="25" w:before="78" w:afterLines="25" w:after="78" w:line="324"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三、本协议自签订之日起生效，一式三份，由甲乙双方及访问工程师所在部门各执一份。</w:t>
      </w:r>
    </w:p>
    <w:p w14:paraId="3AAF508E" w14:textId="77777777" w:rsidR="005F5D63" w:rsidRDefault="005F5D63">
      <w:pPr>
        <w:snapToGrid w:val="0"/>
        <w:spacing w:line="324" w:lineRule="auto"/>
        <w:ind w:firstLineChars="200" w:firstLine="640"/>
        <w:rPr>
          <w:rFonts w:ascii="仿宋_GB2312" w:eastAsia="仿宋_GB2312" w:hAnsi="仿宋_GB2312" w:cs="仿宋_GB2312"/>
          <w:bCs/>
          <w:color w:val="000000"/>
          <w:sz w:val="32"/>
          <w:szCs w:val="32"/>
        </w:rPr>
      </w:pPr>
    </w:p>
    <w:p w14:paraId="72B23671" w14:textId="77777777" w:rsidR="005F5D63" w:rsidRDefault="00000000">
      <w:pPr>
        <w:snapToGrid w:val="0"/>
        <w:spacing w:line="480" w:lineRule="auto"/>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甲方(盖章):</w:t>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t>乙方(盖章):</w:t>
      </w:r>
    </w:p>
    <w:p w14:paraId="39DF8B9B" w14:textId="77777777" w:rsidR="005F5D63" w:rsidRDefault="00000000">
      <w:pPr>
        <w:snapToGrid w:val="0"/>
        <w:spacing w:line="480" w:lineRule="auto"/>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代  表  人：             </w:t>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t>代  表  人：</w:t>
      </w:r>
    </w:p>
    <w:p w14:paraId="4FFB8B34" w14:textId="77777777" w:rsidR="005F5D63" w:rsidRDefault="00000000">
      <w:pPr>
        <w:snapToGrid w:val="0"/>
        <w:spacing w:line="480" w:lineRule="auto"/>
        <w:ind w:firstLineChars="600" w:firstLine="192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r>
      <w:r>
        <w:rPr>
          <w:rFonts w:ascii="仿宋_GB2312" w:eastAsia="仿宋_GB2312" w:hAnsi="仿宋_GB2312" w:cs="仿宋_GB2312" w:hint="eastAsia"/>
          <w:bCs/>
          <w:color w:val="000000"/>
          <w:sz w:val="32"/>
          <w:szCs w:val="32"/>
        </w:rPr>
        <w:tab/>
        <w:t xml:space="preserve"> 年    月    日</w:t>
      </w:r>
    </w:p>
    <w:p w14:paraId="00183830" w14:textId="77777777" w:rsidR="005F5D63" w:rsidRDefault="005F5D63">
      <w:pPr>
        <w:snapToGrid w:val="0"/>
        <w:rPr>
          <w:rFonts w:ascii="黑体" w:eastAsia="黑体"/>
          <w:b/>
          <w:color w:val="000000"/>
          <w:sz w:val="2"/>
          <w:szCs w:val="2"/>
        </w:rPr>
      </w:pPr>
    </w:p>
    <w:p w14:paraId="3C304B4D" w14:textId="77777777" w:rsidR="005F5D63" w:rsidRDefault="005F5D63">
      <w:pPr>
        <w:snapToGrid w:val="0"/>
        <w:rPr>
          <w:rFonts w:ascii="黑体" w:eastAsia="黑体"/>
          <w:b/>
          <w:color w:val="000000"/>
          <w:sz w:val="2"/>
          <w:szCs w:val="2"/>
        </w:rPr>
      </w:pPr>
    </w:p>
    <w:p w14:paraId="23C595DA" w14:textId="77777777" w:rsidR="005F5D63" w:rsidRDefault="005F5D63">
      <w:pPr>
        <w:snapToGrid w:val="0"/>
        <w:rPr>
          <w:rFonts w:ascii="黑体" w:eastAsia="黑体"/>
          <w:b/>
          <w:color w:val="000000"/>
          <w:sz w:val="2"/>
          <w:szCs w:val="2"/>
        </w:rPr>
      </w:pPr>
    </w:p>
    <w:sectPr w:rsidR="005F5D63">
      <w:headerReference w:type="default"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AEA5" w14:textId="77777777" w:rsidR="00F93FA5" w:rsidRDefault="00F93FA5">
      <w:r>
        <w:separator/>
      </w:r>
    </w:p>
  </w:endnote>
  <w:endnote w:type="continuationSeparator" w:id="0">
    <w:p w14:paraId="40F27738" w14:textId="77777777" w:rsidR="00F93FA5" w:rsidRDefault="00F9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353428"/>
    </w:sdtPr>
    <w:sdtEndPr>
      <w:rPr>
        <w:rFonts w:asciiTheme="minorEastAsia" w:eastAsiaTheme="minorEastAsia" w:hAnsiTheme="minorEastAsia"/>
        <w:color w:val="000000" w:themeColor="text1"/>
        <w:sz w:val="28"/>
        <w:szCs w:val="28"/>
      </w:rPr>
    </w:sdtEndPr>
    <w:sdtContent>
      <w:p w14:paraId="75D329D5" w14:textId="77777777" w:rsidR="005F5D63" w:rsidRDefault="00000000">
        <w:pPr>
          <w:pStyle w:val="a5"/>
          <w:ind w:firstLineChars="3800" w:firstLine="684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fldChar w:fldCharType="begin"/>
        </w:r>
        <w:r>
          <w:rPr>
            <w:rFonts w:asciiTheme="minorEastAsia" w:eastAsiaTheme="minorEastAsia" w:hAnsiTheme="minorEastAsia"/>
            <w:color w:val="000000" w:themeColor="text1"/>
            <w:sz w:val="28"/>
            <w:szCs w:val="28"/>
          </w:rPr>
          <w:instrText>PAGE   \* MERGEFORMAT</w:instrText>
        </w:r>
        <w:r>
          <w:rPr>
            <w:rFonts w:asciiTheme="minorEastAsia" w:eastAsiaTheme="minorEastAsia" w:hAnsiTheme="minorEastAsia"/>
            <w:color w:val="000000" w:themeColor="text1"/>
            <w:sz w:val="28"/>
            <w:szCs w:val="28"/>
          </w:rPr>
          <w:fldChar w:fldCharType="separate"/>
        </w:r>
        <w:r>
          <w:rPr>
            <w:rFonts w:asciiTheme="minorEastAsia" w:eastAsiaTheme="minorEastAsia" w:hAnsiTheme="minorEastAsia"/>
            <w:color w:val="000000" w:themeColor="text1"/>
            <w:sz w:val="28"/>
            <w:szCs w:val="28"/>
            <w:lang w:val="zh-CN"/>
          </w:rPr>
          <w:t>2</w:t>
        </w:r>
        <w:r>
          <w:rPr>
            <w:rFonts w:asciiTheme="minorEastAsia" w:eastAsiaTheme="minorEastAsia" w:hAnsiTheme="minorEastAsia"/>
            <w:color w:val="000000" w:themeColor="text1"/>
            <w:sz w:val="28"/>
            <w:szCs w:val="28"/>
          </w:rPr>
          <w:fldChar w:fldCharType="end"/>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9C19" w14:textId="77777777" w:rsidR="00F93FA5" w:rsidRDefault="00F93FA5">
      <w:r>
        <w:separator/>
      </w:r>
    </w:p>
  </w:footnote>
  <w:footnote w:type="continuationSeparator" w:id="0">
    <w:p w14:paraId="73639297" w14:textId="77777777" w:rsidR="00F93FA5" w:rsidRDefault="00F9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F2C8" w14:textId="77777777" w:rsidR="005F5D63" w:rsidRDefault="005F5D6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VlNGQwNDc5MTJhZmZlNDlkOGM0NTZkNTkyZmI5ZWYifQ=="/>
  </w:docVars>
  <w:rsids>
    <w:rsidRoot w:val="4BB3395A"/>
    <w:rsid w:val="00060FEE"/>
    <w:rsid w:val="001A1AA8"/>
    <w:rsid w:val="001F7B34"/>
    <w:rsid w:val="00284346"/>
    <w:rsid w:val="002D3AA9"/>
    <w:rsid w:val="002E6B61"/>
    <w:rsid w:val="003C2B70"/>
    <w:rsid w:val="003C2CC0"/>
    <w:rsid w:val="003F57A1"/>
    <w:rsid w:val="00463966"/>
    <w:rsid w:val="00470CC0"/>
    <w:rsid w:val="004A2DA5"/>
    <w:rsid w:val="004A40F7"/>
    <w:rsid w:val="004D283A"/>
    <w:rsid w:val="005516AC"/>
    <w:rsid w:val="005A1DAE"/>
    <w:rsid w:val="005F5D63"/>
    <w:rsid w:val="006A14C3"/>
    <w:rsid w:val="00730C28"/>
    <w:rsid w:val="007D7CB1"/>
    <w:rsid w:val="00827C8E"/>
    <w:rsid w:val="0083228E"/>
    <w:rsid w:val="008A737D"/>
    <w:rsid w:val="009363BD"/>
    <w:rsid w:val="00967130"/>
    <w:rsid w:val="009B4E7B"/>
    <w:rsid w:val="00A76C69"/>
    <w:rsid w:val="00A77CC9"/>
    <w:rsid w:val="00A833C1"/>
    <w:rsid w:val="00AA7A01"/>
    <w:rsid w:val="00AB07BE"/>
    <w:rsid w:val="00BD42F1"/>
    <w:rsid w:val="00C71F49"/>
    <w:rsid w:val="00CA1CDC"/>
    <w:rsid w:val="00CA2340"/>
    <w:rsid w:val="00D14FC4"/>
    <w:rsid w:val="00DA6E12"/>
    <w:rsid w:val="00EF56F5"/>
    <w:rsid w:val="00F41F18"/>
    <w:rsid w:val="00F93FA5"/>
    <w:rsid w:val="00FD2D14"/>
    <w:rsid w:val="00FE0B38"/>
    <w:rsid w:val="03E51060"/>
    <w:rsid w:val="0F296FA0"/>
    <w:rsid w:val="0FBE2DE6"/>
    <w:rsid w:val="147F6E3A"/>
    <w:rsid w:val="1AC478CF"/>
    <w:rsid w:val="1E7F080F"/>
    <w:rsid w:val="2D4B1F8E"/>
    <w:rsid w:val="2F482023"/>
    <w:rsid w:val="3C3178A8"/>
    <w:rsid w:val="4BB3395A"/>
    <w:rsid w:val="50326995"/>
    <w:rsid w:val="72D624F8"/>
    <w:rsid w:val="79D4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C5C43D2"/>
  <w15:docId w15:val="{33D3E706-534F-431D-91F2-EE302D87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7696A-0741-4ED7-AA08-4E309830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WPS_554549726</dc:creator>
  <cp:lastModifiedBy>Administrator</cp:lastModifiedBy>
  <cp:revision>4</cp:revision>
  <cp:lastPrinted>2022-07-04T07:44:00Z</cp:lastPrinted>
  <dcterms:created xsi:type="dcterms:W3CDTF">2023-10-26T01:26:00Z</dcterms:created>
  <dcterms:modified xsi:type="dcterms:W3CDTF">2023-10-26T01:30:00Z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523300B8F8EC47A3AC6C6ECAC84F2BF9</vt:lpwstr>
  </property>
</Properties>
</file>